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18FE" w14:textId="7BD5A5C3" w:rsidR="00F32316" w:rsidRPr="00CE2931" w:rsidRDefault="00F32316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9EE350E" w14:textId="58A78E6E" w:rsidR="00655579" w:rsidRPr="00CE2931" w:rsidRDefault="00655579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color w:val="000000" w:themeColor="text1"/>
          <w:szCs w:val="24"/>
        </w:rPr>
      </w:pPr>
      <w:r w:rsidRPr="00CE2931">
        <w:rPr>
          <w:rFonts w:asciiTheme="majorHAnsi" w:hAnsiTheme="majorHAnsi" w:cstheme="majorHAnsi"/>
          <w:b/>
          <w:color w:val="000000" w:themeColor="text1"/>
          <w:szCs w:val="24"/>
        </w:rPr>
        <w:t>U</w:t>
      </w:r>
      <w:r w:rsidR="004D17FF" w:rsidRPr="00CE2931">
        <w:rPr>
          <w:rFonts w:asciiTheme="majorHAnsi" w:hAnsiTheme="majorHAnsi" w:cstheme="majorHAnsi"/>
          <w:b/>
          <w:color w:val="000000" w:themeColor="text1"/>
          <w:szCs w:val="24"/>
        </w:rPr>
        <w:t xml:space="preserve"> M O W A</w:t>
      </w:r>
      <w:r w:rsidRPr="00CE2931">
        <w:rPr>
          <w:rFonts w:asciiTheme="majorHAnsi" w:hAnsiTheme="majorHAnsi" w:cstheme="majorHAnsi"/>
          <w:b/>
          <w:color w:val="000000" w:themeColor="text1"/>
          <w:szCs w:val="24"/>
        </w:rPr>
        <w:t xml:space="preserve"> nr</w:t>
      </w:r>
      <w:r w:rsidRPr="00CE2931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4D17FF" w:rsidRPr="00CE2931">
        <w:rPr>
          <w:rFonts w:asciiTheme="majorHAnsi" w:hAnsiTheme="majorHAnsi" w:cstheme="majorHAnsi"/>
          <w:color w:val="000000" w:themeColor="text1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D17FF" w:rsidRPr="00CE2931">
        <w:rPr>
          <w:rFonts w:asciiTheme="majorHAnsi" w:hAnsiTheme="majorHAnsi" w:cstheme="majorHAnsi"/>
          <w:color w:val="000000" w:themeColor="text1"/>
          <w:szCs w:val="24"/>
        </w:rPr>
        <w:instrText xml:space="preserve"> FORMTEXT </w:instrText>
      </w:r>
      <w:r w:rsidR="004D17FF" w:rsidRPr="00CE2931">
        <w:rPr>
          <w:rFonts w:asciiTheme="majorHAnsi" w:hAnsiTheme="majorHAnsi" w:cstheme="majorHAnsi"/>
          <w:color w:val="000000" w:themeColor="text1"/>
          <w:szCs w:val="24"/>
        </w:rPr>
      </w:r>
      <w:r w:rsidR="004D17FF" w:rsidRPr="00CE2931">
        <w:rPr>
          <w:rFonts w:asciiTheme="majorHAnsi" w:hAnsiTheme="majorHAnsi" w:cstheme="majorHAnsi"/>
          <w:color w:val="000000" w:themeColor="text1"/>
          <w:szCs w:val="24"/>
        </w:rPr>
        <w:fldChar w:fldCharType="separate"/>
      </w:r>
      <w:r w:rsidR="004D17FF" w:rsidRPr="00CE2931">
        <w:rPr>
          <w:rFonts w:asciiTheme="majorHAnsi" w:hAnsiTheme="majorHAnsi" w:cstheme="majorHAnsi"/>
          <w:noProof/>
          <w:color w:val="000000" w:themeColor="text1"/>
          <w:szCs w:val="24"/>
        </w:rPr>
        <w:t> </w:t>
      </w:r>
      <w:r w:rsidR="004D17FF" w:rsidRPr="00CE2931">
        <w:rPr>
          <w:rFonts w:asciiTheme="majorHAnsi" w:hAnsiTheme="majorHAnsi" w:cstheme="majorHAnsi"/>
          <w:noProof/>
          <w:color w:val="000000" w:themeColor="text1"/>
          <w:szCs w:val="24"/>
        </w:rPr>
        <w:t> </w:t>
      </w:r>
      <w:r w:rsidR="004D17FF" w:rsidRPr="00CE2931">
        <w:rPr>
          <w:rFonts w:asciiTheme="majorHAnsi" w:hAnsiTheme="majorHAnsi" w:cstheme="majorHAnsi"/>
          <w:noProof/>
          <w:color w:val="000000" w:themeColor="text1"/>
          <w:szCs w:val="24"/>
        </w:rPr>
        <w:t> </w:t>
      </w:r>
      <w:r w:rsidR="004D17FF" w:rsidRPr="00CE2931">
        <w:rPr>
          <w:rFonts w:asciiTheme="majorHAnsi" w:hAnsiTheme="majorHAnsi" w:cstheme="majorHAnsi"/>
          <w:noProof/>
          <w:color w:val="000000" w:themeColor="text1"/>
          <w:szCs w:val="24"/>
        </w:rPr>
        <w:t> </w:t>
      </w:r>
      <w:r w:rsidR="004D17FF" w:rsidRPr="00CE2931">
        <w:rPr>
          <w:rFonts w:asciiTheme="majorHAnsi" w:hAnsiTheme="majorHAnsi" w:cstheme="majorHAnsi"/>
          <w:noProof/>
          <w:color w:val="000000" w:themeColor="text1"/>
          <w:szCs w:val="24"/>
        </w:rPr>
        <w:t> </w:t>
      </w:r>
      <w:r w:rsidR="004D17FF" w:rsidRPr="00CE2931">
        <w:rPr>
          <w:rFonts w:asciiTheme="majorHAnsi" w:hAnsiTheme="majorHAnsi" w:cstheme="majorHAnsi"/>
          <w:color w:val="000000" w:themeColor="text1"/>
          <w:szCs w:val="24"/>
        </w:rPr>
        <w:fldChar w:fldCharType="end"/>
      </w:r>
    </w:p>
    <w:p w14:paraId="42765186" w14:textId="77777777" w:rsidR="00655579" w:rsidRPr="00CE2931" w:rsidRDefault="00655579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E776D82" w14:textId="4EB24EBF" w:rsidR="00655579" w:rsidRPr="00CE2931" w:rsidRDefault="00655579" w:rsidP="00137085">
      <w:pPr>
        <w:pStyle w:val="Tekstpodstawowy"/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 dnia  </w:t>
      </w:r>
      <w:r w:rsidR="004D17F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D17F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FORMTEXT </w:instrText>
      </w:r>
      <w:r w:rsidR="004D17FF" w:rsidRPr="00CE2931">
        <w:rPr>
          <w:rFonts w:asciiTheme="majorHAnsi" w:hAnsiTheme="majorHAnsi" w:cstheme="majorHAnsi"/>
          <w:color w:val="000000" w:themeColor="text1"/>
          <w:sz w:val="22"/>
          <w:szCs w:val="22"/>
        </w:rPr>
      </w:r>
      <w:r w:rsidR="004D17F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="004D17FF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4D17FF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4D17FF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4D17FF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4D17FF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4D17F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</w:p>
    <w:p w14:paraId="56B0FB1A" w14:textId="33C14EDF" w:rsidR="00655579" w:rsidRPr="00CE2931" w:rsidRDefault="00655579" w:rsidP="00454F09">
      <w:pPr>
        <w:pStyle w:val="Tekstpodstawowy"/>
        <w:widowControl w:val="0"/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dokonanie </w:t>
      </w:r>
      <w:r w:rsidR="007655D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oceny zgodności</w:t>
      </w:r>
      <w:r w:rsidR="00AF1CD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EC1E4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UE</w:t>
      </w:r>
      <w:r w:rsidR="009771E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nadzór nad certyfikatem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 zawarta pomiędzy:</w:t>
      </w:r>
    </w:p>
    <w:p w14:paraId="5E9DFD58" w14:textId="77777777" w:rsidR="00655579" w:rsidRPr="00CE2931" w:rsidRDefault="00655579" w:rsidP="00454F09">
      <w:pPr>
        <w:widowControl w:val="0"/>
        <w:spacing w:beforeLines="20" w:before="48" w:afterLines="20" w:after="48"/>
        <w:jc w:val="both"/>
        <w:rPr>
          <w:rFonts w:asciiTheme="majorHAnsi" w:hAnsiTheme="majorHAnsi" w:cstheme="majorHAnsi"/>
          <w:b/>
          <w:color w:val="000000" w:themeColor="text1"/>
          <w:spacing w:val="-14"/>
          <w:sz w:val="22"/>
          <w:szCs w:val="22"/>
        </w:rPr>
      </w:pPr>
    </w:p>
    <w:p w14:paraId="240486B7" w14:textId="2983D7EB" w:rsidR="00655579" w:rsidRPr="008D0380" w:rsidRDefault="001035B1" w:rsidP="00454F09">
      <w:pPr>
        <w:widowControl w:val="0"/>
        <w:spacing w:beforeLines="20" w:before="48" w:afterLines="20" w:after="4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POLSKIM CENTRUM BADAŃ I CERTYFIKACJI S.A.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D17F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J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ednostką </w:t>
      </w:r>
      <w:r w:rsidR="004D17F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otyfikowana nr 1434</w:t>
      </w:r>
      <w:r w:rsidR="00DA36D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 siedzibą w Warszawie</w:t>
      </w:r>
      <w:r w:rsidR="004D17F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ul. </w:t>
      </w:r>
      <w:r w:rsidR="00105A5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Puławska 469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 </w:t>
      </w:r>
      <w:r w:rsidR="00DA36D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kod pocztowy: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02-</w:t>
      </w:r>
      <w:r w:rsidR="00105A5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844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Warszawa, zarejestrowaną w Sądzie Rejonowym dla Miasta Stołecznego Warszawy w Wydziale XIII Gospodarczym pod Numerem KRS 0000144813; Kapitał zakładowy 16.000.000zł opłacony w całości.</w:t>
      </w:r>
      <w:r w:rsidR="00BB50E6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D038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8D0380">
        <w:rPr>
          <w:rFonts w:asciiTheme="majorHAnsi" w:hAnsiTheme="majorHAnsi" w:cstheme="majorHAnsi"/>
          <w:color w:val="000000" w:themeColor="text1"/>
          <w:sz w:val="22"/>
          <w:szCs w:val="22"/>
        </w:rPr>
        <w:t>EGON</w:t>
      </w:r>
      <w:r w:rsidR="008D038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015276609; NIP 951-20-63-356; e-mail: pcbc@pcbc.gov.pl, zwaną dalej „PCBC”,</w:t>
      </w:r>
      <w:r w:rsidR="0074069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53F7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reprezentowaną, na podstawie pełnomocnictwa udzielonego przez Zarząd Spółki, przez </w:t>
      </w:r>
      <w:r w:rsidR="006F6633"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F6633"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="006F6633"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="006F6633"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="006F6633"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="006F6633"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="006F6633"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="006F6633"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="006F6633"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="006F6633"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853F78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CB0DC91" w14:textId="77777777" w:rsidR="00740697" w:rsidRPr="008D0380" w:rsidRDefault="00740697" w:rsidP="00454F09">
      <w:pPr>
        <w:pStyle w:val="Tekstpodstawowy"/>
        <w:widowControl w:val="0"/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80A8876" w14:textId="77777777" w:rsidR="00655579" w:rsidRPr="008D0380" w:rsidRDefault="00655579" w:rsidP="00454F09">
      <w:pPr>
        <w:pStyle w:val="Tekstpodstawowy"/>
        <w:widowControl w:val="0"/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>a:</w:t>
      </w:r>
    </w:p>
    <w:p w14:paraId="1721CBEB" w14:textId="77777777" w:rsidR="00655579" w:rsidRPr="008D0380" w:rsidRDefault="00655579" w:rsidP="00454F09">
      <w:pPr>
        <w:pStyle w:val="Tekstpodstawowy"/>
        <w:widowControl w:val="0"/>
        <w:tabs>
          <w:tab w:val="left" w:pos="4485"/>
        </w:tabs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5EE08956" w14:textId="620FB81D" w:rsidR="008D0380" w:rsidRPr="008D0380" w:rsidRDefault="006F6633" w:rsidP="008D0380">
      <w:pPr>
        <w:pStyle w:val="Tekstpodstawowy"/>
        <w:widowControl w:val="0"/>
        <w:spacing w:beforeLines="20" w:before="48" w:afterLines="20" w:after="48"/>
        <w:rPr>
          <w:rFonts w:asciiTheme="majorHAnsi" w:hAnsiTheme="majorHAnsi"/>
          <w:sz w:val="22"/>
          <w:szCs w:val="22"/>
        </w:rPr>
      </w:pP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DA36D4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 siedzibą w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DA36D4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ul.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DA36D4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 kod pocztowy: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DA36D4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DA36D4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zarejestrowaną w Sądzie Rejonowym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DA36D4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Wydziale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DA36D4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Gospodarczym pod Numerem KRS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DA36D4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; Kapitał zakładowy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DA36D4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zł opłacony w całości. </w:t>
      </w:r>
      <w:r w:rsidR="008D0380">
        <w:rPr>
          <w:rFonts w:asciiTheme="majorHAnsi" w:hAnsiTheme="majorHAnsi" w:cstheme="majorHAnsi"/>
          <w:color w:val="000000" w:themeColor="text1"/>
          <w:sz w:val="22"/>
          <w:szCs w:val="22"/>
        </w:rPr>
        <w:t>REGON</w:t>
      </w:r>
      <w:r w:rsidR="00DA36D4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DA36D4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; NIP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8D0380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>, reprezentowaną przez: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0E7BD0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8D0380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579" w:rsidRPr="008D0380">
        <w:rPr>
          <w:rFonts w:asciiTheme="majorHAnsi" w:hAnsiTheme="majorHAnsi"/>
          <w:sz w:val="22"/>
          <w:szCs w:val="22"/>
        </w:rPr>
        <w:t>zwan</w:t>
      </w:r>
      <w:r w:rsidR="008D0380" w:rsidRPr="008D0380">
        <w:rPr>
          <w:rFonts w:asciiTheme="majorHAnsi" w:hAnsiTheme="majorHAnsi"/>
          <w:sz w:val="22"/>
          <w:szCs w:val="22"/>
        </w:rPr>
        <w:t>ą</w:t>
      </w:r>
      <w:r w:rsidR="00655579" w:rsidRPr="008D0380">
        <w:rPr>
          <w:rFonts w:asciiTheme="majorHAnsi" w:hAnsiTheme="majorHAnsi"/>
          <w:sz w:val="22"/>
          <w:szCs w:val="22"/>
        </w:rPr>
        <w:t xml:space="preserve"> dalej „</w:t>
      </w:r>
      <w:r w:rsidR="00F81209" w:rsidRPr="008D0380">
        <w:rPr>
          <w:rFonts w:asciiTheme="majorHAnsi" w:hAnsiTheme="majorHAnsi"/>
          <w:b/>
          <w:sz w:val="22"/>
          <w:szCs w:val="22"/>
        </w:rPr>
        <w:t>Producentem</w:t>
      </w:r>
      <w:r w:rsidR="00655579" w:rsidRPr="008D0380">
        <w:rPr>
          <w:rFonts w:asciiTheme="majorHAnsi" w:hAnsiTheme="majorHAnsi"/>
          <w:sz w:val="22"/>
          <w:szCs w:val="22"/>
        </w:rPr>
        <w:t>”</w:t>
      </w:r>
    </w:p>
    <w:p w14:paraId="446BBD50" w14:textId="77777777" w:rsidR="008D0380" w:rsidRPr="008D0380" w:rsidRDefault="008D0380" w:rsidP="008D0380">
      <w:pPr>
        <w:pStyle w:val="Tekstpodstawowy"/>
        <w:widowControl w:val="0"/>
        <w:spacing w:beforeLines="20" w:before="48" w:afterLines="20" w:after="48"/>
        <w:rPr>
          <w:rFonts w:asciiTheme="majorHAnsi" w:hAnsiTheme="majorHAnsi"/>
          <w:sz w:val="22"/>
          <w:szCs w:val="22"/>
        </w:rPr>
      </w:pPr>
    </w:p>
    <w:p w14:paraId="6A77486C" w14:textId="77777777" w:rsidR="008D0380" w:rsidRPr="008D0380" w:rsidRDefault="008D0380" w:rsidP="008D0380">
      <w:pPr>
        <w:pStyle w:val="Tekstpodstawowy"/>
        <w:widowControl w:val="0"/>
        <w:spacing w:beforeLines="20" w:before="48" w:afterLines="20" w:after="48"/>
        <w:rPr>
          <w:rFonts w:asciiTheme="majorHAnsi" w:hAnsiTheme="majorHAnsi"/>
          <w:sz w:val="22"/>
          <w:szCs w:val="22"/>
        </w:rPr>
      </w:pPr>
      <w:r w:rsidRPr="008D0380">
        <w:rPr>
          <w:rFonts w:asciiTheme="majorHAnsi" w:hAnsiTheme="majorHAnsi"/>
          <w:sz w:val="22"/>
          <w:szCs w:val="22"/>
        </w:rPr>
        <w:t>albo</w:t>
      </w:r>
    </w:p>
    <w:p w14:paraId="25D81F86" w14:textId="77777777" w:rsidR="008D0380" w:rsidRPr="008D0380" w:rsidRDefault="008D0380" w:rsidP="008D0380">
      <w:pPr>
        <w:pStyle w:val="Tekstpodstawowy"/>
        <w:widowControl w:val="0"/>
        <w:spacing w:beforeLines="20" w:before="48" w:afterLines="20" w:after="48"/>
        <w:rPr>
          <w:rFonts w:asciiTheme="majorHAnsi" w:hAnsiTheme="majorHAnsi"/>
          <w:sz w:val="22"/>
          <w:szCs w:val="22"/>
        </w:rPr>
      </w:pPr>
    </w:p>
    <w:p w14:paraId="417621A7" w14:textId="6B1F5FC2" w:rsidR="008D0380" w:rsidRPr="008D0380" w:rsidRDefault="006F6633" w:rsidP="008D0380">
      <w:pPr>
        <w:pStyle w:val="Tekstpodstawowy"/>
        <w:widowControl w:val="0"/>
        <w:spacing w:beforeLines="20" w:before="48" w:afterLines="20" w:after="48"/>
        <w:rPr>
          <w:rFonts w:asciiTheme="majorHAnsi" w:hAnsiTheme="majorHAnsi"/>
          <w:sz w:val="22"/>
          <w:szCs w:val="22"/>
        </w:rPr>
      </w:pP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8D0380" w:rsidRPr="008D0380">
        <w:rPr>
          <w:rFonts w:asciiTheme="majorHAnsi" w:hAnsiTheme="majorHAnsi"/>
          <w:sz w:val="22"/>
          <w:szCs w:val="22"/>
        </w:rPr>
        <w:t xml:space="preserve"> prowadzącym działalność gospodarczą pod nazwą :</w:t>
      </w:r>
      <w:r w:rsidRPr="006F6633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8D0380" w:rsidRPr="008D0380">
        <w:rPr>
          <w:rFonts w:asciiTheme="majorHAnsi" w:hAnsiTheme="majorHAnsi"/>
          <w:sz w:val="22"/>
          <w:szCs w:val="22"/>
        </w:rPr>
        <w:t xml:space="preserve"> </w:t>
      </w:r>
      <w:r w:rsidR="002B71DD">
        <w:rPr>
          <w:rFonts w:asciiTheme="majorHAnsi" w:hAnsiTheme="majorHAnsi"/>
          <w:sz w:val="22"/>
          <w:szCs w:val="22"/>
        </w:rPr>
        <w:t>w</w:t>
      </w:r>
      <w:r>
        <w:rPr>
          <w:rFonts w:asciiTheme="majorHAnsi" w:hAnsiTheme="majorHAnsi"/>
          <w:sz w:val="22"/>
          <w:szCs w:val="22"/>
        </w:rPr>
        <w:t xml:space="preserve">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8D0380" w:rsidRPr="008D0380">
        <w:rPr>
          <w:rFonts w:asciiTheme="majorHAnsi" w:hAnsiTheme="majorHAnsi"/>
          <w:sz w:val="22"/>
          <w:szCs w:val="22"/>
        </w:rPr>
        <w:t xml:space="preserve">, ul.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8D0380">
        <w:rPr>
          <w:rFonts w:asciiTheme="majorHAnsi" w:hAnsiTheme="majorHAnsi"/>
          <w:sz w:val="22"/>
          <w:szCs w:val="22"/>
        </w:rPr>
        <w:t>, kod pocztowy: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8D0380" w:rsidRPr="008D0380">
        <w:rPr>
          <w:rFonts w:asciiTheme="majorHAnsi" w:hAnsiTheme="majorHAnsi"/>
          <w:sz w:val="22"/>
          <w:szCs w:val="22"/>
        </w:rPr>
        <w:t xml:space="preserve">, na podstawie wpisu </w:t>
      </w:r>
      <w:proofErr w:type="spellStart"/>
      <w:r w:rsidR="008D0380" w:rsidRPr="008D0380">
        <w:rPr>
          <w:rFonts w:asciiTheme="majorHAnsi" w:hAnsiTheme="majorHAnsi"/>
          <w:sz w:val="22"/>
          <w:szCs w:val="22"/>
        </w:rPr>
        <w:t>CEiDG</w:t>
      </w:r>
      <w:proofErr w:type="spellEnd"/>
      <w:r w:rsidR="008D0380" w:rsidRPr="008D0380">
        <w:rPr>
          <w:rFonts w:asciiTheme="majorHAnsi" w:hAnsiTheme="majorHAnsi"/>
          <w:sz w:val="22"/>
          <w:szCs w:val="22"/>
        </w:rPr>
        <w:t xml:space="preserve">: nr.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8D0380" w:rsidRPr="008D0380">
        <w:rPr>
          <w:rFonts w:asciiTheme="majorHAnsi" w:hAnsiTheme="majorHAnsi"/>
          <w:sz w:val="22"/>
          <w:szCs w:val="22"/>
        </w:rPr>
        <w:t xml:space="preserve">, </w:t>
      </w:r>
      <w:r w:rsidR="008D0380">
        <w:rPr>
          <w:rFonts w:asciiTheme="majorHAnsi" w:hAnsiTheme="majorHAnsi" w:cstheme="majorHAnsi"/>
          <w:color w:val="000000" w:themeColor="text1"/>
          <w:sz w:val="22"/>
          <w:szCs w:val="22"/>
        </w:rPr>
        <w:t>REGON</w:t>
      </w:r>
      <w:r w:rsidR="008D0380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8D0380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; NIP 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instrText xml:space="preserve"> FORMTEXT </w:instrTex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separate"/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 </w:t>
      </w:r>
      <w:r w:rsidRPr="00C31C3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fldChar w:fldCharType="end"/>
      </w:r>
      <w:r w:rsidR="008D0380" w:rsidRPr="008D03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8D0380" w:rsidRPr="008D0380">
        <w:rPr>
          <w:rFonts w:asciiTheme="majorHAnsi" w:hAnsiTheme="majorHAnsi"/>
          <w:sz w:val="22"/>
          <w:szCs w:val="22"/>
        </w:rPr>
        <w:t>działającym przy niniejszej umowie osobiście</w:t>
      </w:r>
      <w:r w:rsidR="00CB00D0">
        <w:rPr>
          <w:rFonts w:asciiTheme="majorHAnsi" w:hAnsiTheme="majorHAnsi"/>
          <w:sz w:val="22"/>
          <w:szCs w:val="22"/>
        </w:rPr>
        <w:t xml:space="preserve">, </w:t>
      </w:r>
      <w:r w:rsidR="00CB00D0" w:rsidRPr="008D0380">
        <w:rPr>
          <w:rFonts w:asciiTheme="majorHAnsi" w:hAnsiTheme="majorHAnsi"/>
          <w:sz w:val="22"/>
          <w:szCs w:val="22"/>
        </w:rPr>
        <w:t>zwaną dalej „</w:t>
      </w:r>
      <w:r w:rsidR="00CB00D0" w:rsidRPr="008D0380">
        <w:rPr>
          <w:rFonts w:asciiTheme="majorHAnsi" w:hAnsiTheme="majorHAnsi"/>
          <w:b/>
          <w:sz w:val="22"/>
          <w:szCs w:val="22"/>
        </w:rPr>
        <w:t>Producentem</w:t>
      </w:r>
      <w:r w:rsidR="00CB00D0" w:rsidRPr="008D0380">
        <w:rPr>
          <w:rFonts w:asciiTheme="majorHAnsi" w:hAnsiTheme="majorHAnsi"/>
          <w:sz w:val="22"/>
          <w:szCs w:val="22"/>
        </w:rPr>
        <w:t>”</w:t>
      </w:r>
    </w:p>
    <w:p w14:paraId="2D2E13AC" w14:textId="1E629965" w:rsidR="00655579" w:rsidRPr="00CE2931" w:rsidRDefault="00655579" w:rsidP="008D0380">
      <w:pPr>
        <w:pStyle w:val="Tekstpodstawowy"/>
        <w:widowControl w:val="0"/>
        <w:spacing w:beforeLines="20" w:before="48" w:afterLines="20" w:after="48"/>
      </w:pPr>
    </w:p>
    <w:p w14:paraId="173603E3" w14:textId="77777777" w:rsidR="0087617B" w:rsidRPr="00CE2931" w:rsidRDefault="0087617B" w:rsidP="00454F09">
      <w:pPr>
        <w:pStyle w:val="Tekstpodstawowy"/>
        <w:widowControl w:val="0"/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zwanych łącznie „Stronami”</w:t>
      </w:r>
    </w:p>
    <w:p w14:paraId="19701E03" w14:textId="40B38811" w:rsidR="003174D1" w:rsidRPr="00CE2931" w:rsidRDefault="003174D1" w:rsidP="00454F09">
      <w:pPr>
        <w:pStyle w:val="Tekstpodstawowy"/>
        <w:widowControl w:val="0"/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1059918" w14:textId="77777777" w:rsidR="003E12AB" w:rsidRPr="00CE2931" w:rsidRDefault="003E12AB" w:rsidP="00454F09">
      <w:pPr>
        <w:pStyle w:val="Tekstpodstawowy"/>
        <w:widowControl w:val="0"/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D3C1F85" w14:textId="77777777" w:rsidR="00655579" w:rsidRDefault="00655579" w:rsidP="00454F09">
      <w:pPr>
        <w:pStyle w:val="Tekstpodstawowy"/>
        <w:widowControl w:val="0"/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następującej treści: </w:t>
      </w:r>
    </w:p>
    <w:p w14:paraId="1CD2D239" w14:textId="77777777" w:rsidR="00DF75E4" w:rsidRPr="00CE2931" w:rsidRDefault="00DF75E4" w:rsidP="00454F09">
      <w:pPr>
        <w:pStyle w:val="Tekstpodstawowy"/>
        <w:widowControl w:val="0"/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69227A2" w14:textId="77777777" w:rsidR="00655579" w:rsidRPr="00CE2931" w:rsidRDefault="00655579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sym w:font="Times New Roman" w:char="00A7"/>
      </w: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1. Przedmiot umowy</w:t>
      </w:r>
    </w:p>
    <w:p w14:paraId="30071E23" w14:textId="77777777" w:rsidR="00655579" w:rsidRPr="00CE2931" w:rsidRDefault="00655579" w:rsidP="00454F09">
      <w:pPr>
        <w:widowControl w:val="0"/>
        <w:spacing w:beforeLines="20" w:before="48" w:afterLines="20" w:after="48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C1BE59B" w14:textId="6C996C3E" w:rsidR="00655579" w:rsidRDefault="00655579" w:rsidP="004D6907">
      <w:pPr>
        <w:pStyle w:val="Tekstpodstawowy3"/>
        <w:widowControl w:val="0"/>
        <w:numPr>
          <w:ilvl w:val="0"/>
          <w:numId w:val="31"/>
        </w:numPr>
        <w:spacing w:beforeLines="20" w:before="48" w:afterLines="20" w:after="48"/>
        <w:ind w:hanging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Przedmiotem niniejszej </w:t>
      </w:r>
      <w:r w:rsidR="004451A0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mowy jest określenie zasad współpracy, praw i obowiązków oraz wzajemnych</w:t>
      </w:r>
      <w:r w:rsidR="000A2A6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zobowiązań </w:t>
      </w:r>
      <w:r w:rsidR="00D72AB8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D72AB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tron</w:t>
      </w:r>
      <w:r w:rsidR="000A2A6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związanych z</w:t>
      </w:r>
      <w:r w:rsidR="00D55D7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0272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oceną zgodności (certyfikacją) </w:t>
      </w:r>
      <w:r w:rsidR="00F8120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nawozowego UE </w:t>
      </w:r>
      <w:r w:rsidR="00655E51" w:rsidRPr="00CE2931">
        <w:rPr>
          <w:rFonts w:asciiTheme="majorHAnsi" w:hAnsiTheme="majorHAnsi" w:cstheme="majorHAnsi"/>
          <w:sz w:val="22"/>
          <w:szCs w:val="22"/>
        </w:rPr>
        <w:t xml:space="preserve">spełniającego kryteria definicji </w:t>
      </w:r>
      <w:r w:rsidR="00F81209" w:rsidRPr="00CE2931">
        <w:rPr>
          <w:rFonts w:asciiTheme="majorHAnsi" w:hAnsiTheme="majorHAnsi" w:cstheme="majorHAnsi"/>
          <w:sz w:val="22"/>
          <w:szCs w:val="22"/>
        </w:rPr>
        <w:t xml:space="preserve">produktu nawozowego UE zgodnie z </w:t>
      </w:r>
      <w:r w:rsidR="007C0668" w:rsidRPr="00CE2931">
        <w:rPr>
          <w:rFonts w:asciiTheme="majorHAnsi" w:hAnsiTheme="majorHAnsi" w:cstheme="majorHAnsi"/>
          <w:sz w:val="22"/>
          <w:szCs w:val="22"/>
        </w:rPr>
        <w:t xml:space="preserve">Rozporządzeniem Parlamentu Europejskiego </w:t>
      </w:r>
      <w:r w:rsidR="004451A0">
        <w:rPr>
          <w:rFonts w:asciiTheme="majorHAnsi" w:hAnsiTheme="majorHAnsi" w:cstheme="majorHAnsi"/>
          <w:sz w:val="22"/>
          <w:szCs w:val="22"/>
        </w:rPr>
        <w:t>i</w:t>
      </w:r>
      <w:r w:rsidR="007C0668" w:rsidRPr="00CE2931">
        <w:rPr>
          <w:rFonts w:asciiTheme="majorHAnsi" w:hAnsiTheme="majorHAnsi" w:cstheme="majorHAnsi"/>
          <w:sz w:val="22"/>
          <w:szCs w:val="22"/>
        </w:rPr>
        <w:t xml:space="preserve"> Rady </w:t>
      </w:r>
      <w:r w:rsidR="00A64B80" w:rsidRPr="00CE2931">
        <w:rPr>
          <w:rFonts w:asciiTheme="majorHAnsi" w:hAnsiTheme="majorHAnsi" w:cstheme="majorHAnsi"/>
          <w:sz w:val="22"/>
          <w:szCs w:val="22"/>
        </w:rPr>
        <w:t>(UE) 2019/1009 z dnia 5 czerwca 2019 r. ustanawiające przepisy dotyczące udostępniania na rynku produktów nawozowych UE, zmieniające rozporządzenia (WE) nr 1069/2009 i (WE) nr 1107/2009 oraz uchylające rozporządzenie (WE)</w:t>
      </w:r>
      <w:r w:rsidR="00DB320F">
        <w:rPr>
          <w:rFonts w:asciiTheme="majorHAnsi" w:hAnsiTheme="majorHAnsi" w:cstheme="majorHAnsi"/>
          <w:sz w:val="22"/>
          <w:szCs w:val="22"/>
        </w:rPr>
        <w:t xml:space="preserve"> </w:t>
      </w:r>
      <w:r w:rsidR="00A64B80" w:rsidRPr="00CE2931">
        <w:rPr>
          <w:rFonts w:asciiTheme="majorHAnsi" w:hAnsiTheme="majorHAnsi" w:cstheme="majorHAnsi"/>
          <w:sz w:val="22"/>
          <w:szCs w:val="22"/>
        </w:rPr>
        <w:t>nr 2003/2003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C0272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B32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(zwane dalej: Rozporządzeniem (UE) 2019/1009) </w:t>
      </w:r>
      <w:r w:rsidR="00C0272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oraz nadzorem nad certyfikatem</w:t>
      </w:r>
      <w:r w:rsidR="00DB32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3784CF44" w14:textId="1F1C1AA7" w:rsidR="002F31BA" w:rsidRPr="0031492A" w:rsidRDefault="00D72AB8" w:rsidP="004D6907">
      <w:pPr>
        <w:pStyle w:val="Tekstpodstawowy3"/>
        <w:widowControl w:val="0"/>
        <w:numPr>
          <w:ilvl w:val="0"/>
          <w:numId w:val="31"/>
        </w:numPr>
        <w:spacing w:beforeLines="20" w:before="48" w:afterLines="20" w:after="48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31492A">
        <w:rPr>
          <w:rFonts w:asciiTheme="majorHAnsi" w:hAnsiTheme="majorHAnsi" w:cstheme="majorHAnsi"/>
          <w:sz w:val="22"/>
          <w:szCs w:val="22"/>
        </w:rPr>
        <w:t>S</w:t>
      </w:r>
      <w:r w:rsidR="003174D1" w:rsidRPr="0031492A">
        <w:rPr>
          <w:rFonts w:asciiTheme="majorHAnsi" w:hAnsiTheme="majorHAnsi" w:cstheme="majorHAnsi"/>
          <w:sz w:val="22"/>
          <w:szCs w:val="22"/>
        </w:rPr>
        <w:t xml:space="preserve">trony ustalają, iż ocena zgodności </w:t>
      </w:r>
      <w:r w:rsidR="00F81209" w:rsidRPr="0031492A">
        <w:rPr>
          <w:rFonts w:asciiTheme="majorHAnsi" w:hAnsiTheme="majorHAnsi" w:cstheme="majorHAnsi"/>
          <w:sz w:val="22"/>
          <w:szCs w:val="22"/>
        </w:rPr>
        <w:t xml:space="preserve">produktu nawozowego </w:t>
      </w:r>
      <w:r w:rsidR="001035B1" w:rsidRPr="0031492A">
        <w:rPr>
          <w:rFonts w:asciiTheme="majorHAnsi" w:hAnsiTheme="majorHAnsi" w:cstheme="majorHAnsi"/>
          <w:sz w:val="22"/>
          <w:szCs w:val="22"/>
        </w:rPr>
        <w:t xml:space="preserve">UE </w:t>
      </w:r>
      <w:r w:rsidRPr="0031492A">
        <w:rPr>
          <w:rFonts w:asciiTheme="majorHAnsi" w:hAnsiTheme="majorHAnsi" w:cstheme="majorHAnsi"/>
          <w:sz w:val="22"/>
          <w:szCs w:val="22"/>
        </w:rPr>
        <w:t>realizowana na podstawie</w:t>
      </w:r>
      <w:r w:rsidR="003174D1" w:rsidRPr="0031492A">
        <w:rPr>
          <w:rFonts w:asciiTheme="majorHAnsi" w:hAnsiTheme="majorHAnsi" w:cstheme="majorHAnsi"/>
          <w:sz w:val="22"/>
          <w:szCs w:val="22"/>
        </w:rPr>
        <w:t xml:space="preserve"> niniejsz</w:t>
      </w:r>
      <w:r w:rsidRPr="0031492A">
        <w:rPr>
          <w:rFonts w:asciiTheme="majorHAnsi" w:hAnsiTheme="majorHAnsi" w:cstheme="majorHAnsi"/>
          <w:sz w:val="22"/>
          <w:szCs w:val="22"/>
        </w:rPr>
        <w:t>ej</w:t>
      </w:r>
      <w:r w:rsidR="003174D1" w:rsidRPr="0031492A">
        <w:rPr>
          <w:rFonts w:asciiTheme="majorHAnsi" w:hAnsiTheme="majorHAnsi" w:cstheme="majorHAnsi"/>
          <w:sz w:val="22"/>
          <w:szCs w:val="22"/>
        </w:rPr>
        <w:t xml:space="preserve"> </w:t>
      </w:r>
      <w:r w:rsidRPr="0031492A">
        <w:rPr>
          <w:rFonts w:asciiTheme="majorHAnsi" w:hAnsiTheme="majorHAnsi" w:cstheme="majorHAnsi"/>
          <w:sz w:val="22"/>
          <w:szCs w:val="22"/>
        </w:rPr>
        <w:t xml:space="preserve">umowy </w:t>
      </w:r>
      <w:r w:rsidR="003174D1" w:rsidRPr="0031492A">
        <w:rPr>
          <w:rFonts w:asciiTheme="majorHAnsi" w:hAnsiTheme="majorHAnsi" w:cstheme="majorHAnsi"/>
          <w:sz w:val="22"/>
          <w:szCs w:val="22"/>
        </w:rPr>
        <w:t>odno</w:t>
      </w:r>
      <w:r w:rsidR="002F327F" w:rsidRPr="0031492A">
        <w:rPr>
          <w:rFonts w:asciiTheme="majorHAnsi" w:hAnsiTheme="majorHAnsi" w:cstheme="majorHAnsi"/>
          <w:sz w:val="22"/>
          <w:szCs w:val="22"/>
        </w:rPr>
        <w:t xml:space="preserve">si się </w:t>
      </w:r>
      <w:r w:rsidR="00F81209" w:rsidRPr="0031492A">
        <w:rPr>
          <w:rFonts w:asciiTheme="majorHAnsi" w:hAnsiTheme="majorHAnsi" w:cstheme="majorHAnsi"/>
          <w:sz w:val="22"/>
          <w:szCs w:val="22"/>
        </w:rPr>
        <w:t>produktu</w:t>
      </w:r>
      <w:r w:rsidR="003174D1" w:rsidRPr="0031492A">
        <w:rPr>
          <w:rFonts w:asciiTheme="majorHAnsi" w:hAnsiTheme="majorHAnsi" w:cstheme="majorHAnsi"/>
          <w:sz w:val="22"/>
          <w:szCs w:val="22"/>
        </w:rPr>
        <w:t xml:space="preserve"> </w:t>
      </w:r>
      <w:r w:rsidR="004E666B" w:rsidRPr="0031492A">
        <w:rPr>
          <w:rFonts w:asciiTheme="majorHAnsi" w:hAnsiTheme="majorHAnsi" w:cstheme="majorHAnsi"/>
          <w:sz w:val="22"/>
          <w:szCs w:val="22"/>
        </w:rPr>
        <w:t xml:space="preserve">nawozowego UE </w:t>
      </w:r>
      <w:r w:rsidR="003174D1" w:rsidRPr="0031492A">
        <w:rPr>
          <w:rFonts w:asciiTheme="majorHAnsi" w:hAnsiTheme="majorHAnsi" w:cstheme="majorHAnsi"/>
          <w:sz w:val="22"/>
          <w:szCs w:val="22"/>
        </w:rPr>
        <w:t>wyszcz</w:t>
      </w:r>
      <w:r w:rsidR="00094CB4" w:rsidRPr="0031492A">
        <w:rPr>
          <w:rFonts w:asciiTheme="majorHAnsi" w:hAnsiTheme="majorHAnsi" w:cstheme="majorHAnsi"/>
          <w:sz w:val="22"/>
          <w:szCs w:val="22"/>
        </w:rPr>
        <w:t xml:space="preserve">ególnionego w </w:t>
      </w:r>
      <w:r w:rsidRPr="0031492A">
        <w:rPr>
          <w:rFonts w:asciiTheme="majorHAnsi" w:hAnsiTheme="majorHAnsi" w:cstheme="majorHAnsi"/>
          <w:sz w:val="22"/>
          <w:szCs w:val="22"/>
        </w:rPr>
        <w:t>kosztorysie zaakceptowanym przez Producenta</w:t>
      </w:r>
      <w:r w:rsidR="004D6907" w:rsidRPr="0031492A">
        <w:rPr>
          <w:rFonts w:asciiTheme="majorHAnsi" w:hAnsiTheme="majorHAnsi" w:cstheme="majorHAnsi"/>
          <w:sz w:val="22"/>
          <w:szCs w:val="22"/>
        </w:rPr>
        <w:t xml:space="preserve"> (Kosztorys)</w:t>
      </w:r>
      <w:r w:rsidR="004E666B" w:rsidRPr="0031492A">
        <w:rPr>
          <w:rFonts w:asciiTheme="majorHAnsi" w:hAnsiTheme="majorHAnsi" w:cstheme="majorHAnsi"/>
          <w:sz w:val="22"/>
          <w:szCs w:val="22"/>
        </w:rPr>
        <w:t xml:space="preserve">, który </w:t>
      </w:r>
      <w:r w:rsidRPr="0031492A">
        <w:rPr>
          <w:rFonts w:asciiTheme="majorHAnsi" w:hAnsiTheme="majorHAnsi" w:cstheme="majorHAnsi"/>
          <w:sz w:val="22"/>
          <w:szCs w:val="22"/>
        </w:rPr>
        <w:t xml:space="preserve">przygotowany został przez PCBC </w:t>
      </w:r>
      <w:r w:rsidR="004E666B" w:rsidRPr="0031492A">
        <w:rPr>
          <w:rFonts w:asciiTheme="majorHAnsi" w:hAnsiTheme="majorHAnsi" w:cstheme="majorHAnsi"/>
          <w:sz w:val="22"/>
          <w:szCs w:val="22"/>
        </w:rPr>
        <w:t>na podstawie przedstawionego przez Producenta</w:t>
      </w:r>
      <w:r w:rsidR="003E12AB" w:rsidRPr="0031492A">
        <w:rPr>
          <w:rFonts w:asciiTheme="majorHAnsi" w:hAnsiTheme="majorHAnsi" w:cstheme="majorHAnsi"/>
          <w:sz w:val="22"/>
          <w:szCs w:val="22"/>
        </w:rPr>
        <w:t xml:space="preserve"> </w:t>
      </w:r>
      <w:r w:rsidR="000E0657" w:rsidRPr="0031492A">
        <w:rPr>
          <w:rFonts w:asciiTheme="majorHAnsi" w:hAnsiTheme="majorHAnsi" w:cstheme="majorHAnsi"/>
          <w:sz w:val="22"/>
          <w:szCs w:val="22"/>
        </w:rPr>
        <w:t>Wniosk</w:t>
      </w:r>
      <w:r w:rsidR="004E666B" w:rsidRPr="0031492A">
        <w:rPr>
          <w:rFonts w:asciiTheme="majorHAnsi" w:hAnsiTheme="majorHAnsi" w:cstheme="majorHAnsi"/>
          <w:sz w:val="22"/>
          <w:szCs w:val="22"/>
        </w:rPr>
        <w:t>u</w:t>
      </w:r>
      <w:r w:rsidR="000E0657" w:rsidRPr="0031492A">
        <w:rPr>
          <w:rFonts w:asciiTheme="majorHAnsi" w:hAnsiTheme="majorHAnsi" w:cstheme="majorHAnsi"/>
          <w:sz w:val="22"/>
          <w:szCs w:val="22"/>
        </w:rPr>
        <w:t xml:space="preserve"> o </w:t>
      </w:r>
      <w:r w:rsidR="007B216B" w:rsidRPr="0031492A">
        <w:rPr>
          <w:rFonts w:asciiTheme="majorHAnsi" w:hAnsiTheme="majorHAnsi" w:cstheme="majorHAnsi"/>
          <w:sz w:val="22"/>
          <w:szCs w:val="22"/>
        </w:rPr>
        <w:t xml:space="preserve">ocenę zgodności produktu nawozowego UE </w:t>
      </w:r>
      <w:r w:rsidR="000E0657" w:rsidRPr="0031492A">
        <w:rPr>
          <w:rFonts w:asciiTheme="majorHAnsi" w:hAnsiTheme="majorHAnsi" w:cstheme="majorHAnsi"/>
          <w:sz w:val="22"/>
          <w:szCs w:val="22"/>
        </w:rPr>
        <w:t>(FB</w:t>
      </w:r>
      <w:r w:rsidR="00B67374" w:rsidRPr="0031492A">
        <w:rPr>
          <w:rFonts w:asciiTheme="majorHAnsi" w:hAnsiTheme="majorHAnsi" w:cstheme="majorHAnsi"/>
          <w:sz w:val="22"/>
          <w:szCs w:val="22"/>
        </w:rPr>
        <w:t>S-N</w:t>
      </w:r>
      <w:r w:rsidR="000E0657" w:rsidRPr="0031492A">
        <w:rPr>
          <w:rFonts w:asciiTheme="majorHAnsi" w:hAnsiTheme="majorHAnsi" w:cstheme="majorHAnsi"/>
          <w:sz w:val="22"/>
          <w:szCs w:val="22"/>
        </w:rPr>
        <w:t>-01)</w:t>
      </w:r>
      <w:r w:rsidR="003E12AB" w:rsidRPr="0031492A">
        <w:rPr>
          <w:rFonts w:asciiTheme="majorHAnsi" w:hAnsiTheme="majorHAnsi" w:cstheme="majorHAnsi"/>
          <w:sz w:val="22"/>
          <w:szCs w:val="22"/>
        </w:rPr>
        <w:t>.</w:t>
      </w:r>
      <w:r w:rsidR="00655E51" w:rsidRPr="0031492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08BA02" w14:textId="14372ADF" w:rsidR="00D72AB8" w:rsidRDefault="00D72AB8" w:rsidP="00581867">
      <w:pPr>
        <w:pStyle w:val="Tekstpodstawowy3"/>
        <w:widowControl w:val="0"/>
        <w:numPr>
          <w:ilvl w:val="0"/>
          <w:numId w:val="31"/>
        </w:numPr>
        <w:spacing w:beforeLines="20" w:before="48" w:afterLines="20" w:after="48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31492A">
        <w:rPr>
          <w:rFonts w:asciiTheme="majorHAnsi" w:hAnsiTheme="majorHAnsi" w:cstheme="majorHAnsi"/>
          <w:sz w:val="22"/>
          <w:szCs w:val="22"/>
        </w:rPr>
        <w:t>Kosztorys</w:t>
      </w:r>
      <w:r w:rsidR="004D6907" w:rsidRPr="0031492A">
        <w:rPr>
          <w:rFonts w:asciiTheme="majorHAnsi" w:hAnsiTheme="majorHAnsi" w:cstheme="majorHAnsi"/>
          <w:sz w:val="22"/>
          <w:szCs w:val="22"/>
        </w:rPr>
        <w:t xml:space="preserve">, po jego podpisaniu przez Producenta staje się Załącznikiem nr </w:t>
      </w:r>
      <w:r w:rsidR="00EA1FB0">
        <w:rPr>
          <w:rFonts w:asciiTheme="majorHAnsi" w:hAnsiTheme="majorHAnsi" w:cstheme="majorHAnsi"/>
          <w:sz w:val="22"/>
          <w:szCs w:val="22"/>
        </w:rPr>
        <w:t>1</w:t>
      </w:r>
      <w:r w:rsidR="004D6907" w:rsidRPr="0031492A">
        <w:rPr>
          <w:rFonts w:asciiTheme="majorHAnsi" w:hAnsiTheme="majorHAnsi" w:cstheme="majorHAnsi"/>
          <w:sz w:val="22"/>
          <w:szCs w:val="22"/>
        </w:rPr>
        <w:t xml:space="preserve"> do 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>niniejszej umowy, bez konieczności jej zmiany.</w:t>
      </w:r>
      <w:r w:rsidR="00E8242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1C10238" w14:textId="7293EEA1" w:rsidR="00E8242F" w:rsidRPr="00760908" w:rsidRDefault="002F03EA" w:rsidP="00257E4F">
      <w:pPr>
        <w:pStyle w:val="Akapitzlist"/>
        <w:widowControl w:val="0"/>
        <w:numPr>
          <w:ilvl w:val="0"/>
          <w:numId w:val="31"/>
        </w:numPr>
        <w:spacing w:beforeLines="20" w:before="48" w:afterLines="20" w:after="48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734CE0">
        <w:rPr>
          <w:rFonts w:asciiTheme="majorHAnsi" w:hAnsiTheme="majorHAnsi" w:cstheme="majorHAnsi"/>
          <w:color w:val="000000" w:themeColor="text1"/>
          <w:sz w:val="22"/>
          <w:szCs w:val="22"/>
        </w:rPr>
        <w:t>Strony zgodnie potwierdzają, że niniejsza umowa ma charakter ramowy</w:t>
      </w:r>
      <w:r w:rsidR="0076090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734C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60908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Pr="00734CE0">
        <w:rPr>
          <w:rFonts w:asciiTheme="majorHAnsi" w:hAnsiTheme="majorHAnsi" w:cstheme="majorHAnsi"/>
          <w:color w:val="000000" w:themeColor="text1"/>
          <w:sz w:val="22"/>
          <w:szCs w:val="22"/>
        </w:rPr>
        <w:t>znacza</w:t>
      </w:r>
      <w:r w:rsidR="007609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</w:t>
      </w:r>
      <w:r w:rsidRPr="00734CE0">
        <w:rPr>
          <w:rFonts w:asciiTheme="majorHAnsi" w:hAnsiTheme="majorHAnsi" w:cstheme="majorHAnsi"/>
          <w:color w:val="000000" w:themeColor="text1"/>
          <w:sz w:val="22"/>
          <w:szCs w:val="22"/>
        </w:rPr>
        <w:t>, że</w:t>
      </w:r>
      <w:r w:rsidRPr="00734CE0">
        <w:rPr>
          <w:rFonts w:asciiTheme="majorHAnsi" w:hAnsiTheme="majorHAnsi" w:cstheme="majorHAnsi"/>
          <w:sz w:val="22"/>
          <w:szCs w:val="22"/>
        </w:rPr>
        <w:t xml:space="preserve"> </w:t>
      </w:r>
      <w:r w:rsidR="00760908">
        <w:rPr>
          <w:rFonts w:asciiTheme="majorHAnsi" w:hAnsiTheme="majorHAnsi" w:cstheme="majorHAnsi"/>
          <w:sz w:val="22"/>
          <w:szCs w:val="22"/>
        </w:rPr>
        <w:t xml:space="preserve">określone niniejszą umową </w:t>
      </w:r>
      <w:r w:rsidR="007609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zasad</w:t>
      </w:r>
      <w:r w:rsidR="00760908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7609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współpracy, praw</w:t>
      </w:r>
      <w:r w:rsidR="00760908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7609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obowiązk</w:t>
      </w:r>
      <w:r w:rsidR="00760908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7609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oraz wzajemn</w:t>
      </w:r>
      <w:r w:rsidR="00760908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7609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zobowiąza</w:t>
      </w:r>
      <w:r w:rsidR="00760908">
        <w:rPr>
          <w:rFonts w:asciiTheme="majorHAnsi" w:hAnsiTheme="majorHAnsi" w:cstheme="majorHAnsi"/>
          <w:color w:val="000000" w:themeColor="text1"/>
          <w:sz w:val="22"/>
          <w:szCs w:val="22"/>
        </w:rPr>
        <w:t>nia</w:t>
      </w:r>
      <w:r w:rsidR="007609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60908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7609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tron, związan</w:t>
      </w:r>
      <w:r w:rsidR="00760908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7609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 oceną zgodności (certyfikacją) produktu nawozowego UE</w:t>
      </w:r>
      <w:r w:rsidR="00760908">
        <w:rPr>
          <w:rFonts w:asciiTheme="majorHAnsi" w:hAnsiTheme="majorHAnsi" w:cstheme="majorHAnsi"/>
          <w:sz w:val="22"/>
          <w:szCs w:val="22"/>
        </w:rPr>
        <w:t xml:space="preserve"> mają zastosowanie w</w:t>
      </w:r>
      <w:r w:rsidR="006812B8" w:rsidRPr="007609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609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każdym </w:t>
      </w:r>
      <w:r w:rsidR="006812B8" w:rsidRPr="007609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przypadku, </w:t>
      </w:r>
      <w:r w:rsidR="006812B8" w:rsidRPr="00760908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gdy Producent złoży więcej niż jeden </w:t>
      </w:r>
      <w:r w:rsidR="006812B8" w:rsidRPr="00760908">
        <w:rPr>
          <w:rFonts w:asciiTheme="majorHAnsi" w:hAnsiTheme="majorHAnsi" w:cstheme="majorHAnsi"/>
          <w:sz w:val="22"/>
          <w:szCs w:val="22"/>
        </w:rPr>
        <w:t>Wniosek o ocenę zgodności produktu nawozowego UE na formularz</w:t>
      </w:r>
      <w:r w:rsidR="005413B9" w:rsidRPr="00760908">
        <w:rPr>
          <w:rFonts w:asciiTheme="majorHAnsi" w:hAnsiTheme="majorHAnsi" w:cstheme="majorHAnsi"/>
          <w:sz w:val="22"/>
          <w:szCs w:val="22"/>
        </w:rPr>
        <w:t>u</w:t>
      </w:r>
      <w:r w:rsidR="006812B8" w:rsidRPr="00760908">
        <w:rPr>
          <w:rFonts w:asciiTheme="majorHAnsi" w:hAnsiTheme="majorHAnsi" w:cstheme="majorHAnsi"/>
          <w:sz w:val="22"/>
          <w:szCs w:val="22"/>
        </w:rPr>
        <w:t xml:space="preserve"> Wniosku o ocenę zgodności produktu nawozowego UE</w:t>
      </w:r>
      <w:r w:rsidR="00257E4F">
        <w:rPr>
          <w:rFonts w:asciiTheme="majorHAnsi" w:hAnsiTheme="majorHAnsi" w:cstheme="majorHAnsi"/>
          <w:sz w:val="22"/>
          <w:szCs w:val="22"/>
        </w:rPr>
        <w:t>.</w:t>
      </w:r>
      <w:r w:rsidR="00760908">
        <w:rPr>
          <w:rFonts w:asciiTheme="majorHAnsi" w:hAnsiTheme="majorHAnsi" w:cstheme="majorHAnsi"/>
          <w:sz w:val="22"/>
          <w:szCs w:val="22"/>
        </w:rPr>
        <w:t xml:space="preserve"> </w:t>
      </w:r>
      <w:r w:rsidR="006812B8" w:rsidRPr="00760908">
        <w:rPr>
          <w:rFonts w:asciiTheme="majorHAnsi" w:hAnsiTheme="majorHAnsi" w:cstheme="majorHAnsi"/>
          <w:sz w:val="22"/>
          <w:szCs w:val="22"/>
        </w:rPr>
        <w:t xml:space="preserve">Strony zgodnie przyjmują, że dla każdego produktu nawozowego UE objętego </w:t>
      </w:r>
      <w:r w:rsidR="005413B9" w:rsidRPr="00760908">
        <w:rPr>
          <w:rFonts w:asciiTheme="majorHAnsi" w:hAnsiTheme="majorHAnsi" w:cstheme="majorHAnsi"/>
          <w:sz w:val="22"/>
          <w:szCs w:val="22"/>
        </w:rPr>
        <w:t xml:space="preserve">danym </w:t>
      </w:r>
      <w:r w:rsidR="00760908">
        <w:rPr>
          <w:rFonts w:asciiTheme="majorHAnsi" w:hAnsiTheme="majorHAnsi" w:cstheme="majorHAnsi"/>
          <w:sz w:val="22"/>
          <w:szCs w:val="22"/>
        </w:rPr>
        <w:t xml:space="preserve">ww. </w:t>
      </w:r>
      <w:r w:rsidR="005413B9" w:rsidRPr="00760908">
        <w:rPr>
          <w:rFonts w:asciiTheme="majorHAnsi" w:hAnsiTheme="majorHAnsi" w:cstheme="majorHAnsi"/>
          <w:sz w:val="22"/>
          <w:szCs w:val="22"/>
        </w:rPr>
        <w:t>W</w:t>
      </w:r>
      <w:r w:rsidR="006812B8" w:rsidRPr="00760908">
        <w:rPr>
          <w:rFonts w:asciiTheme="majorHAnsi" w:hAnsiTheme="majorHAnsi" w:cstheme="majorHAnsi"/>
          <w:sz w:val="22"/>
          <w:szCs w:val="22"/>
        </w:rPr>
        <w:t>nioskiem</w:t>
      </w:r>
      <w:r w:rsidR="005413B9" w:rsidRPr="00760908">
        <w:rPr>
          <w:rFonts w:asciiTheme="majorHAnsi" w:hAnsiTheme="majorHAnsi" w:cstheme="majorHAnsi"/>
          <w:sz w:val="22"/>
          <w:szCs w:val="22"/>
        </w:rPr>
        <w:t xml:space="preserve"> o ocenę zgodności produktu nawozowego UE</w:t>
      </w:r>
      <w:r w:rsidR="006812B8" w:rsidRPr="00760908">
        <w:rPr>
          <w:rFonts w:asciiTheme="majorHAnsi" w:hAnsiTheme="majorHAnsi" w:cstheme="majorHAnsi"/>
          <w:sz w:val="22"/>
          <w:szCs w:val="22"/>
        </w:rPr>
        <w:t xml:space="preserve"> stosuje się </w:t>
      </w:r>
      <w:r w:rsidR="00760908">
        <w:rPr>
          <w:rFonts w:asciiTheme="majorHAnsi" w:hAnsiTheme="majorHAnsi" w:cstheme="majorHAnsi"/>
          <w:sz w:val="22"/>
          <w:szCs w:val="22"/>
        </w:rPr>
        <w:t xml:space="preserve">wówczas </w:t>
      </w:r>
      <w:r w:rsidR="006812B8" w:rsidRPr="00760908">
        <w:rPr>
          <w:rFonts w:asciiTheme="majorHAnsi" w:hAnsiTheme="majorHAnsi" w:cstheme="majorHAnsi"/>
          <w:sz w:val="22"/>
          <w:szCs w:val="22"/>
        </w:rPr>
        <w:t>postanowienia niniejszej umowy</w:t>
      </w:r>
      <w:r w:rsidR="00137085" w:rsidRPr="00760908">
        <w:rPr>
          <w:rFonts w:asciiTheme="majorHAnsi" w:hAnsiTheme="majorHAnsi" w:cstheme="majorHAnsi"/>
          <w:sz w:val="22"/>
          <w:szCs w:val="22"/>
        </w:rPr>
        <w:t>.</w:t>
      </w:r>
    </w:p>
    <w:p w14:paraId="437E91E9" w14:textId="1FF31B54" w:rsidR="00E8242F" w:rsidRPr="00CE2931" w:rsidRDefault="00E8242F" w:rsidP="003F43D8">
      <w:pPr>
        <w:widowControl w:val="0"/>
        <w:spacing w:beforeLines="20" w:before="48" w:afterLines="20" w:after="48"/>
        <w:ind w:left="700" w:hanging="70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5.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Strony ustalają, iż w przypadku złożenia przez Producenta więcej niż jednego </w:t>
      </w:r>
      <w:r w:rsidR="00734CE0">
        <w:rPr>
          <w:rFonts w:asciiTheme="majorHAnsi" w:hAnsiTheme="majorHAnsi" w:cstheme="majorHAnsi"/>
          <w:sz w:val="22"/>
          <w:szCs w:val="22"/>
        </w:rPr>
        <w:t>W</w:t>
      </w:r>
      <w:r>
        <w:rPr>
          <w:rFonts w:asciiTheme="majorHAnsi" w:hAnsiTheme="majorHAnsi" w:cstheme="majorHAnsi"/>
          <w:sz w:val="22"/>
          <w:szCs w:val="22"/>
        </w:rPr>
        <w:t xml:space="preserve">niosku </w:t>
      </w:r>
      <w:r w:rsidRPr="00CE2931">
        <w:rPr>
          <w:rFonts w:asciiTheme="majorHAnsi" w:hAnsiTheme="majorHAnsi" w:cstheme="majorHAnsi"/>
          <w:sz w:val="22"/>
          <w:szCs w:val="22"/>
        </w:rPr>
        <w:t xml:space="preserve">o </w:t>
      </w:r>
      <w:r>
        <w:rPr>
          <w:rFonts w:asciiTheme="majorHAnsi" w:hAnsiTheme="majorHAnsi" w:cstheme="majorHAnsi"/>
          <w:sz w:val="22"/>
          <w:szCs w:val="22"/>
        </w:rPr>
        <w:t>ocenę zgodności produktu nawozowego UE, PCBC przygotowuje jeden Kosztorys dla produktów nawozowych UE w danym module. Postanowienia ust. 3 powyżej stosuje się wówczas odpowiednio.</w:t>
      </w:r>
    </w:p>
    <w:p w14:paraId="38411B51" w14:textId="77777777" w:rsidR="00DF75E4" w:rsidRDefault="00DF75E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0F130E" w14:textId="77777777" w:rsidR="006812B8" w:rsidRDefault="006812B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2E2117E" w14:textId="2ABD4B94" w:rsidR="00655579" w:rsidRPr="00CE2931" w:rsidRDefault="00655579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sym w:font="Times New Roman" w:char="00A7"/>
      </w: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2. Postanowienia ogólne</w:t>
      </w:r>
      <w:r w:rsidR="00426743"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/etapy oceny </w:t>
      </w:r>
      <w:r w:rsidR="00B67374"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produktu nawozowego</w:t>
      </w: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C82139"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UE</w:t>
      </w:r>
    </w:p>
    <w:p w14:paraId="65C60BFA" w14:textId="77777777" w:rsidR="00655579" w:rsidRPr="00CE2931" w:rsidRDefault="00655579" w:rsidP="00454F09">
      <w:pPr>
        <w:widowControl w:val="0"/>
        <w:spacing w:beforeLines="20" w:before="48" w:afterLines="20" w:after="48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9C663BD" w14:textId="412A5B44" w:rsidR="00C216CD" w:rsidRPr="00CE2931" w:rsidRDefault="00655579" w:rsidP="00D72AB8">
      <w:pPr>
        <w:widowControl w:val="0"/>
        <w:numPr>
          <w:ilvl w:val="1"/>
          <w:numId w:val="1"/>
        </w:numPr>
        <w:tabs>
          <w:tab w:val="clear" w:pos="750"/>
          <w:tab w:val="num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Certyfikat </w:t>
      </w:r>
      <w:r w:rsidR="00D72AB8" w:rsidRPr="00B42C7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dla</w:t>
      </w:r>
      <w:r w:rsidR="00D72AB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D72AB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 UE</w:t>
      </w:r>
      <w:r w:rsidR="00D72AB8" w:rsidRPr="00CE2931" w:rsidDel="00D72AB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F2797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lub</w:t>
      </w:r>
      <w:r w:rsidR="00C47B7D" w:rsidRPr="00CE2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C47B7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ś</w:t>
      </w:r>
      <w:r w:rsidR="00C47B7D" w:rsidRPr="00CE2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wiad</w:t>
      </w:r>
      <w:r w:rsidR="00C47B7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ectwo</w:t>
      </w:r>
      <w:r w:rsidR="00C47B7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(Certyfikat)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jest dokumentem wystawianym przez jednostkę notyfikowaną 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PCBC,</w:t>
      </w:r>
      <w:r w:rsidR="0065109B" w:rsidRPr="0065109B"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potwierdzającym spełnienie 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przez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 </w:t>
      </w:r>
      <w:r w:rsidR="0065109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nawozow</w:t>
      </w:r>
      <w:r w:rsidR="0065109B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65109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035B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UE</w:t>
      </w:r>
      <w:r w:rsidR="00651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109B" w:rsidRPr="00C8045C">
        <w:rPr>
          <w:rFonts w:asciiTheme="majorHAnsi" w:hAnsiTheme="majorHAnsi" w:cstheme="majorHAnsi"/>
          <w:color w:val="000000" w:themeColor="text1"/>
          <w:sz w:val="22"/>
          <w:szCs w:val="22"/>
        </w:rPr>
        <w:t>lub system jakości</w:t>
      </w:r>
      <w:r w:rsidR="008E15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procesu produkcji</w:t>
      </w:r>
      <w:r w:rsidR="001035B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wymagań</w:t>
      </w:r>
      <w:r w:rsidR="0046049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określonych </w:t>
      </w:r>
      <w:r w:rsidR="0047199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właściwymi przepisami prawa, w tym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Rozporządzenia </w:t>
      </w:r>
      <w:r w:rsidR="007C066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7655D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UE</w:t>
      </w:r>
      <w:r w:rsidR="007C066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7655D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2019/1009</w:t>
      </w:r>
      <w:r w:rsidR="0047199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46049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Wydanie </w:t>
      </w:r>
      <w:r w:rsidR="00D72AB8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D72AB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 </w:t>
      </w:r>
      <w:r w:rsidR="0046049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następuje w wyniku przeprowadzenia 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przez PCBC </w:t>
      </w:r>
      <w:r w:rsidR="0046049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procedury oceny zgodności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 wynikiem pozytywnym</w:t>
      </w:r>
      <w:r w:rsidR="0046049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4AED3568" w14:textId="30368DDA" w:rsidR="00426743" w:rsidRPr="00CE2931" w:rsidRDefault="00B67374" w:rsidP="00FC112D">
      <w:pPr>
        <w:widowControl w:val="0"/>
        <w:numPr>
          <w:ilvl w:val="1"/>
          <w:numId w:val="1"/>
        </w:numPr>
        <w:tabs>
          <w:tab w:val="clear" w:pos="750"/>
          <w:tab w:val="num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0" w:name="_Hlk44592838"/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>– zawierając niniejsz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>ą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umowę -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oświadcza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piśmie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że nie złożył </w:t>
      </w:r>
      <w:r w:rsidR="00910ACD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niosku o do</w:t>
      </w:r>
      <w:r w:rsidR="005262A6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konanie oceny zgodności </w:t>
      </w:r>
      <w:r w:rsidR="004D619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 UE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objęt</w:t>
      </w:r>
      <w:r w:rsidR="004D619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ego</w:t>
      </w:r>
      <w:r w:rsidR="005B5EB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przedmiotem </w:t>
      </w:r>
      <w:r w:rsidR="004D690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niniejsz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>ej</w:t>
      </w:r>
      <w:r w:rsidR="004D690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umow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4D690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 innej jednostce notyfikowanej</w:t>
      </w:r>
      <w:bookmarkEnd w:id="0"/>
      <w:r w:rsidR="00655579" w:rsidRPr="006B1B09">
        <w:rPr>
          <w:rFonts w:asciiTheme="majorHAnsi" w:hAnsiTheme="majorHAnsi" w:cstheme="majorHAnsi"/>
          <w:sz w:val="22"/>
          <w:szCs w:val="22"/>
        </w:rPr>
        <w:t xml:space="preserve">. </w:t>
      </w:r>
      <w:r w:rsidR="004D6907" w:rsidRPr="006B1B09">
        <w:rPr>
          <w:rFonts w:asciiTheme="majorHAnsi" w:hAnsiTheme="majorHAnsi" w:cstheme="majorHAnsi"/>
          <w:sz w:val="22"/>
          <w:szCs w:val="22"/>
        </w:rPr>
        <w:t>Oświadczenie Producenta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o którym mowa w zdaniu poprzednim staje się Załącznikiem nr </w:t>
      </w:r>
      <w:r w:rsidR="00EA1FB0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niniejszej umowy, bez konieczności jej zmiany.</w:t>
      </w:r>
    </w:p>
    <w:p w14:paraId="0926B86B" w14:textId="37ECA54F" w:rsidR="00426743" w:rsidRPr="00CE2931" w:rsidRDefault="001D7E92" w:rsidP="00FC112D">
      <w:pPr>
        <w:widowControl w:val="0"/>
        <w:numPr>
          <w:ilvl w:val="1"/>
          <w:numId w:val="1"/>
        </w:numPr>
        <w:tabs>
          <w:tab w:val="clear" w:pos="750"/>
          <w:tab w:val="num" w:pos="709"/>
          <w:tab w:val="left" w:pos="8931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9277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przypadku</w:t>
      </w:r>
      <w:r w:rsidR="001035B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9277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gdy 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B42C7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niosek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dokonanie oceny </w:t>
      </w:r>
      <w:r w:rsidR="007C066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zgodności </w:t>
      </w:r>
      <w:r w:rsidR="0032480B" w:rsidRPr="00CE2931">
        <w:rPr>
          <w:rFonts w:asciiTheme="majorHAnsi" w:hAnsiTheme="majorHAnsi" w:cstheme="majorHAnsi"/>
          <w:sz w:val="22"/>
          <w:szCs w:val="22"/>
        </w:rPr>
        <w:t>produktu nawozow</w:t>
      </w:r>
      <w:r w:rsidR="00EC1E43" w:rsidRPr="00CE2931">
        <w:rPr>
          <w:rFonts w:asciiTheme="majorHAnsi" w:hAnsiTheme="majorHAnsi" w:cstheme="majorHAnsi"/>
          <w:sz w:val="22"/>
          <w:szCs w:val="22"/>
        </w:rPr>
        <w:t>ego</w:t>
      </w:r>
      <w:r w:rsidR="0032480B" w:rsidRPr="00CE2931">
        <w:rPr>
          <w:rFonts w:asciiTheme="majorHAnsi" w:hAnsiTheme="majorHAnsi" w:cstheme="majorHAnsi"/>
          <w:sz w:val="22"/>
          <w:szCs w:val="22"/>
        </w:rPr>
        <w:t xml:space="preserve"> UE</w:t>
      </w:r>
      <w:r w:rsidR="00655579"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objęty niniejszą umową został odrzucony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przez inną niż PCBC</w:t>
      </w:r>
      <w:r w:rsidR="00EC1E4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8212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jednostk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ę</w:t>
      </w:r>
      <w:r w:rsidR="00F8212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notyfikowaną</w:t>
      </w:r>
      <w:r w:rsidR="00F8212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lub jednostka ta </w:t>
      </w:r>
      <w:r w:rsidR="00F8212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odmówiła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wystawienia certyfikatu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zawierając niniejszą umowę </w:t>
      </w:r>
      <w:r w:rsidR="00F8212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składa 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– na piśmie - </w:t>
      </w:r>
      <w:r w:rsidR="00F8212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oświadczenie o powodach odrzucenia 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>wyżej wymienionego w</w:t>
      </w:r>
      <w:r w:rsidR="00B42C7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niosku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lub o </w:t>
      </w:r>
      <w:r w:rsidR="002F3CA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odmowie</w:t>
      </w:r>
      <w:r w:rsidR="00F8212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wydania </w:t>
      </w:r>
      <w:r w:rsidR="002F3CA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certyfikatu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dla</w:t>
      </w:r>
      <w:r w:rsidR="00B42C7F" w:rsidRPr="00B42C7F">
        <w:rPr>
          <w:rFonts w:asciiTheme="majorHAnsi" w:hAnsiTheme="majorHAnsi" w:cstheme="majorHAnsi"/>
          <w:sz w:val="22"/>
          <w:szCs w:val="22"/>
        </w:rPr>
        <w:t xml:space="preserve"> </w:t>
      </w:r>
      <w:r w:rsidR="00B42C7F" w:rsidRPr="00CE2931">
        <w:rPr>
          <w:rFonts w:asciiTheme="majorHAnsi" w:hAnsiTheme="majorHAnsi" w:cstheme="majorHAnsi"/>
          <w:sz w:val="22"/>
          <w:szCs w:val="22"/>
        </w:rPr>
        <w:t>produktu nawozowego UE</w:t>
      </w:r>
      <w:r w:rsidR="00B42C7F">
        <w:rPr>
          <w:rFonts w:asciiTheme="majorHAnsi" w:hAnsiTheme="majorHAnsi" w:cstheme="majorHAnsi"/>
          <w:sz w:val="22"/>
          <w:szCs w:val="22"/>
        </w:rPr>
        <w:t>.</w:t>
      </w:r>
      <w:r w:rsidR="004D6907" w:rsidRP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Oświadczenie Producenta, o którym mowa w zdaniu poprzednim staje się Załącznikiem nr </w:t>
      </w:r>
      <w:r w:rsidR="00EA1FB0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niniejszej umowy, bez konieczności jej zmiany.</w:t>
      </w:r>
    </w:p>
    <w:p w14:paraId="224CB1D0" w14:textId="77777777" w:rsidR="00964B8E" w:rsidRDefault="004641F2" w:rsidP="0083559E">
      <w:pPr>
        <w:widowControl w:val="0"/>
        <w:numPr>
          <w:ilvl w:val="1"/>
          <w:numId w:val="1"/>
        </w:numPr>
        <w:tabs>
          <w:tab w:val="clear" w:pos="750"/>
          <w:tab w:val="num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Producent składa 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– na piśmie -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oświadczenie o liczbie zaistniałych incydentów</w:t>
      </w:r>
      <w:r w:rsidR="00E8242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97AF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 zakresie modułu D1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powodach ich wystąpienia oraz sposobie ich zamknięcia</w:t>
      </w:r>
      <w:r w:rsidR="0046201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B1B09">
        <w:rPr>
          <w:rFonts w:asciiTheme="majorHAnsi" w:hAnsiTheme="majorHAnsi" w:cstheme="majorHAnsi"/>
          <w:color w:val="000000" w:themeColor="text1"/>
          <w:sz w:val="22"/>
          <w:szCs w:val="22"/>
        </w:rPr>
        <w:t>(jeśli zasadne</w:t>
      </w:r>
      <w:r w:rsidR="00462011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 W przypadku</w:t>
      </w:r>
      <w:r w:rsidR="0065109B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gdy w postępowaniu z incydentem brał udział właściwy organ </w:t>
      </w:r>
      <w:r w:rsidR="00A97AF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nadzoru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Producent przesyła finalne stanowisko organu w sprawie postępowania z incydentem.</w:t>
      </w:r>
      <w:r w:rsidR="00FC112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28E6343" w14:textId="248520EC" w:rsidR="00FC112D" w:rsidRPr="00FC112D" w:rsidRDefault="00FC112D" w:rsidP="00964B8E">
      <w:pPr>
        <w:widowControl w:val="0"/>
        <w:spacing w:beforeLines="20" w:before="48" w:afterLines="20" w:after="48"/>
        <w:ind w:left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Pod pojęciem Incydent, Strony rozumieją </w:t>
      </w:r>
      <w:r w:rsidRPr="00BC7FDA">
        <w:rPr>
          <w:rFonts w:asciiTheme="majorHAnsi" w:hAnsiTheme="majorHAnsi" w:cstheme="majorHAnsi"/>
          <w:iCs/>
          <w:sz w:val="22"/>
          <w:szCs w:val="22"/>
        </w:rPr>
        <w:t xml:space="preserve">zdarzenie sugerujące organom nadzoru rynku, że produkt stwarza zagrożenie dla zdrowia i bezpieczeństwa osób, pasz oraz środowiska lub innych aspektów interesów publicznych może wywołać potrzebę przeprowadzenia dokładniejszej kontroli produktu (dotyczy okresu 12 miesięcy przed złożeniem </w:t>
      </w:r>
      <w:r>
        <w:rPr>
          <w:rFonts w:asciiTheme="majorHAnsi" w:hAnsiTheme="majorHAnsi" w:cstheme="majorHAnsi"/>
          <w:iCs/>
          <w:sz w:val="22"/>
          <w:szCs w:val="22"/>
        </w:rPr>
        <w:t>W</w:t>
      </w:r>
      <w:r w:rsidRPr="00BC7FDA">
        <w:rPr>
          <w:rFonts w:asciiTheme="majorHAnsi" w:hAnsiTheme="majorHAnsi" w:cstheme="majorHAnsi"/>
          <w:iCs/>
          <w:sz w:val="22"/>
          <w:szCs w:val="22"/>
        </w:rPr>
        <w:t xml:space="preserve">niosku o certyfikację oraz okresu nadzoru w trakcie ważności </w:t>
      </w:r>
      <w:r>
        <w:rPr>
          <w:rFonts w:asciiTheme="majorHAnsi" w:hAnsiTheme="majorHAnsi" w:cstheme="majorHAnsi"/>
          <w:iCs/>
          <w:sz w:val="22"/>
          <w:szCs w:val="22"/>
        </w:rPr>
        <w:t>c</w:t>
      </w:r>
      <w:r w:rsidRPr="00BC7FDA">
        <w:rPr>
          <w:rFonts w:asciiTheme="majorHAnsi" w:hAnsiTheme="majorHAnsi" w:cstheme="majorHAnsi"/>
          <w:iCs/>
          <w:sz w:val="22"/>
          <w:szCs w:val="22"/>
        </w:rPr>
        <w:t>ertyfikatu).</w:t>
      </w:r>
    </w:p>
    <w:p w14:paraId="43D6A158" w14:textId="601BD41A" w:rsidR="005C6FFB" w:rsidRPr="00CE2931" w:rsidRDefault="004F4CAB" w:rsidP="00B42C7F">
      <w:pPr>
        <w:widowControl w:val="0"/>
        <w:numPr>
          <w:ilvl w:val="1"/>
          <w:numId w:val="1"/>
        </w:numPr>
        <w:tabs>
          <w:tab w:val="clear" w:pos="750"/>
          <w:tab w:val="num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Merytoryczna</w:t>
      </w:r>
      <w:r w:rsidR="00BD2B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57E4F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257E4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cena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zg</w:t>
      </w:r>
      <w:r w:rsidR="005C6FF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odności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1035B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UE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C6FF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rozpoczyna się w momencie</w:t>
      </w:r>
      <w:r w:rsidR="00C1380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łącznego </w:t>
      </w:r>
      <w:r w:rsidR="00C1380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spełnienia</w:t>
      </w:r>
      <w:r w:rsidR="0057445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się </w:t>
      </w:r>
      <w:r w:rsidR="0057445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wszystkich poniższych</w:t>
      </w:r>
      <w:r w:rsidR="005C6FF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warunków</w:t>
      </w:r>
      <w:r w:rsidR="0039178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47199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tj. po</w:t>
      </w:r>
      <w:r w:rsidR="005C6FF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4B89475A" w14:textId="2253CBB1" w:rsidR="00B42C7F" w:rsidRPr="00C45AE1" w:rsidRDefault="00655579" w:rsidP="00B42C7F">
      <w:pPr>
        <w:widowControl w:val="0"/>
        <w:numPr>
          <w:ilvl w:val="0"/>
          <w:numId w:val="14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sz w:val="22"/>
          <w:szCs w:val="22"/>
        </w:rPr>
        <w:t>otrzymaniu przez PCBC pod</w:t>
      </w:r>
      <w:r w:rsidR="00D47D81" w:rsidRPr="00CE2931">
        <w:rPr>
          <w:rFonts w:asciiTheme="majorHAnsi" w:hAnsiTheme="majorHAnsi" w:cstheme="majorHAnsi"/>
          <w:sz w:val="22"/>
          <w:szCs w:val="22"/>
        </w:rPr>
        <w:t>pisane</w:t>
      </w:r>
      <w:r w:rsidR="0024407D">
        <w:rPr>
          <w:rFonts w:asciiTheme="majorHAnsi" w:hAnsiTheme="majorHAnsi" w:cstheme="majorHAnsi"/>
          <w:sz w:val="22"/>
          <w:szCs w:val="22"/>
        </w:rPr>
        <w:t>go</w:t>
      </w:r>
      <w:r w:rsidR="00D47D81" w:rsidRPr="00CE2931">
        <w:rPr>
          <w:rFonts w:asciiTheme="majorHAnsi" w:hAnsiTheme="majorHAnsi" w:cstheme="majorHAnsi"/>
          <w:sz w:val="22"/>
          <w:szCs w:val="22"/>
        </w:rPr>
        <w:t xml:space="preserve"> przez </w:t>
      </w:r>
      <w:r w:rsidR="00B67374" w:rsidRPr="00CE2931">
        <w:rPr>
          <w:rFonts w:asciiTheme="majorHAnsi" w:hAnsiTheme="majorHAnsi" w:cstheme="majorHAnsi"/>
          <w:sz w:val="22"/>
          <w:szCs w:val="22"/>
        </w:rPr>
        <w:t>Producent</w:t>
      </w:r>
      <w:r w:rsidR="00D47D81" w:rsidRPr="00CE2931">
        <w:rPr>
          <w:rFonts w:asciiTheme="majorHAnsi" w:hAnsiTheme="majorHAnsi" w:cstheme="majorHAnsi"/>
          <w:sz w:val="22"/>
          <w:szCs w:val="22"/>
        </w:rPr>
        <w:t>a</w:t>
      </w:r>
      <w:r w:rsidR="005C6FFB"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="00B42C7F" w:rsidRPr="00C45AE1">
        <w:rPr>
          <w:rFonts w:asciiTheme="majorHAnsi" w:hAnsiTheme="majorHAnsi" w:cstheme="majorHAnsi"/>
          <w:color w:val="000000" w:themeColor="text1"/>
          <w:sz w:val="22"/>
          <w:szCs w:val="22"/>
        </w:rPr>
        <w:t>Wnios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>ku</w:t>
      </w:r>
      <w:r w:rsidR="00B42C7F" w:rsidRPr="00C45AE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przeprowadzenie oceny zgodności,</w:t>
      </w:r>
    </w:p>
    <w:p w14:paraId="1BF87BCC" w14:textId="0C8E9B9F" w:rsidR="005C6FFB" w:rsidRPr="0024407D" w:rsidRDefault="00B42C7F" w:rsidP="00DB498D">
      <w:pPr>
        <w:widowControl w:val="0"/>
        <w:numPr>
          <w:ilvl w:val="0"/>
          <w:numId w:val="14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sz w:val="22"/>
          <w:szCs w:val="22"/>
        </w:rPr>
      </w:pPr>
      <w:r w:rsidRPr="00CE2931">
        <w:rPr>
          <w:rFonts w:asciiTheme="majorHAnsi" w:hAnsiTheme="majorHAnsi" w:cstheme="majorHAnsi"/>
          <w:sz w:val="22"/>
          <w:szCs w:val="22"/>
        </w:rPr>
        <w:t>otrzymaniu przez PCBC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E07E1" w:rsidRPr="00CE2931">
        <w:rPr>
          <w:rFonts w:asciiTheme="majorHAnsi" w:hAnsiTheme="majorHAnsi" w:cstheme="majorHAnsi"/>
          <w:sz w:val="22"/>
          <w:szCs w:val="22"/>
        </w:rPr>
        <w:t>podpisane</w:t>
      </w:r>
      <w:r w:rsidR="0024407D">
        <w:rPr>
          <w:rFonts w:asciiTheme="majorHAnsi" w:hAnsiTheme="majorHAnsi" w:cstheme="majorHAnsi"/>
          <w:sz w:val="22"/>
          <w:szCs w:val="22"/>
        </w:rPr>
        <w:t>j</w:t>
      </w:r>
      <w:r w:rsidR="003E07E1" w:rsidRPr="00CE2931">
        <w:rPr>
          <w:rFonts w:asciiTheme="majorHAnsi" w:hAnsiTheme="majorHAnsi" w:cstheme="majorHAnsi"/>
          <w:sz w:val="22"/>
          <w:szCs w:val="22"/>
        </w:rPr>
        <w:t xml:space="preserve"> przez </w:t>
      </w:r>
      <w:r w:rsidR="00B67374" w:rsidRPr="00CE2931">
        <w:rPr>
          <w:rFonts w:asciiTheme="majorHAnsi" w:hAnsiTheme="majorHAnsi" w:cstheme="majorHAnsi"/>
          <w:sz w:val="22"/>
          <w:szCs w:val="22"/>
        </w:rPr>
        <w:t>Producent</w:t>
      </w:r>
      <w:r w:rsidR="003E07E1" w:rsidRPr="00CE2931">
        <w:rPr>
          <w:rFonts w:asciiTheme="majorHAnsi" w:hAnsiTheme="majorHAnsi" w:cstheme="majorHAnsi"/>
          <w:sz w:val="22"/>
          <w:szCs w:val="22"/>
        </w:rPr>
        <w:t xml:space="preserve">a </w:t>
      </w:r>
      <w:r w:rsidR="00E35506">
        <w:rPr>
          <w:rFonts w:asciiTheme="majorHAnsi" w:hAnsiTheme="majorHAnsi" w:cstheme="majorHAnsi"/>
          <w:sz w:val="22"/>
          <w:szCs w:val="22"/>
        </w:rPr>
        <w:t>niniejszej u</w:t>
      </w:r>
      <w:r w:rsidR="0024407D">
        <w:rPr>
          <w:rFonts w:asciiTheme="majorHAnsi" w:hAnsiTheme="majorHAnsi" w:cstheme="majorHAnsi"/>
          <w:sz w:val="22"/>
          <w:szCs w:val="22"/>
        </w:rPr>
        <w:t xml:space="preserve">mowy i </w:t>
      </w:r>
      <w:r w:rsidR="00B67374" w:rsidRPr="00CE2931">
        <w:rPr>
          <w:rFonts w:asciiTheme="majorHAnsi" w:hAnsiTheme="majorHAnsi" w:cstheme="majorHAnsi"/>
          <w:sz w:val="22"/>
          <w:szCs w:val="22"/>
        </w:rPr>
        <w:t>Kosztorys</w:t>
      </w:r>
      <w:r>
        <w:rPr>
          <w:rFonts w:asciiTheme="majorHAnsi" w:hAnsiTheme="majorHAnsi" w:cstheme="majorHAnsi"/>
          <w:sz w:val="22"/>
          <w:szCs w:val="22"/>
        </w:rPr>
        <w:t>u</w:t>
      </w:r>
      <w:r w:rsidR="003E07E1" w:rsidRPr="00CE2931">
        <w:rPr>
          <w:rFonts w:asciiTheme="majorHAnsi" w:hAnsiTheme="majorHAnsi" w:cstheme="majorHAnsi"/>
          <w:sz w:val="22"/>
          <w:szCs w:val="22"/>
        </w:rPr>
        <w:t>,</w:t>
      </w:r>
      <w:r w:rsidR="0024407D">
        <w:rPr>
          <w:rFonts w:asciiTheme="majorHAnsi" w:hAnsiTheme="majorHAnsi" w:cstheme="majorHAnsi"/>
          <w:sz w:val="22"/>
          <w:szCs w:val="22"/>
        </w:rPr>
        <w:t xml:space="preserve"> </w:t>
      </w:r>
      <w:r w:rsidR="0024407D" w:rsidRPr="0024407D">
        <w:rPr>
          <w:rFonts w:asciiTheme="majorHAnsi" w:hAnsiTheme="majorHAnsi" w:cstheme="majorHAnsi"/>
          <w:sz w:val="22"/>
          <w:szCs w:val="22"/>
        </w:rPr>
        <w:t xml:space="preserve">albo zaakceptowania przez Producenta Kosztorysu zgodnie z § 1 ust. 3 (jeżeli Kosztorys zostanie zaakceptowany po zawarciu niniejszej umowy) albo </w:t>
      </w:r>
      <w:r w:rsidR="0024407D">
        <w:rPr>
          <w:rFonts w:asciiTheme="majorHAnsi" w:hAnsiTheme="majorHAnsi" w:cstheme="majorHAnsi"/>
          <w:sz w:val="22"/>
          <w:szCs w:val="22"/>
        </w:rPr>
        <w:t xml:space="preserve">po </w:t>
      </w:r>
      <w:r w:rsidR="0024407D" w:rsidRPr="0024407D">
        <w:rPr>
          <w:rFonts w:asciiTheme="majorHAnsi" w:hAnsiTheme="majorHAnsi" w:cstheme="majorHAnsi"/>
          <w:sz w:val="22"/>
          <w:szCs w:val="22"/>
        </w:rPr>
        <w:t xml:space="preserve">akceptacji przez Producenta każdego </w:t>
      </w:r>
      <w:r w:rsidR="0024407D">
        <w:rPr>
          <w:rFonts w:asciiTheme="majorHAnsi" w:hAnsiTheme="majorHAnsi" w:cstheme="majorHAnsi"/>
          <w:sz w:val="22"/>
          <w:szCs w:val="22"/>
        </w:rPr>
        <w:t xml:space="preserve">następnego </w:t>
      </w:r>
      <w:r w:rsidR="0024407D" w:rsidRPr="0024407D">
        <w:rPr>
          <w:rFonts w:asciiTheme="majorHAnsi" w:hAnsiTheme="majorHAnsi" w:cstheme="majorHAnsi"/>
          <w:sz w:val="22"/>
          <w:szCs w:val="22"/>
        </w:rPr>
        <w:t>kosztorysu, jeśli kosztorys taki sporządzony zostanie przez PCBC i zaakceptowany przez Producenta zgodnie z postanowieniami § 1 ust. 4 lub ust. 5 niniejszej umowy</w:t>
      </w:r>
      <w:r w:rsidR="0027623D">
        <w:rPr>
          <w:rFonts w:asciiTheme="majorHAnsi" w:hAnsiTheme="majorHAnsi" w:cstheme="majorHAnsi"/>
          <w:sz w:val="22"/>
          <w:szCs w:val="22"/>
        </w:rPr>
        <w:t>,</w:t>
      </w:r>
      <w:r w:rsidR="0024407D" w:rsidRPr="0024407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64F7DE" w14:textId="52A0BDEA" w:rsidR="00B42C7F" w:rsidRPr="000B01DB" w:rsidRDefault="00655579" w:rsidP="00B42C7F">
      <w:pPr>
        <w:widowControl w:val="0"/>
        <w:numPr>
          <w:ilvl w:val="0"/>
          <w:numId w:val="14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sz w:val="22"/>
          <w:szCs w:val="22"/>
        </w:rPr>
      </w:pPr>
      <w:r w:rsidRPr="00B42C7F">
        <w:rPr>
          <w:rFonts w:asciiTheme="majorHAnsi" w:hAnsiTheme="majorHAnsi" w:cstheme="majorHAnsi"/>
          <w:sz w:val="22"/>
          <w:szCs w:val="22"/>
        </w:rPr>
        <w:t xml:space="preserve">uiszczeniu przez </w:t>
      </w:r>
      <w:r w:rsidR="00B67374" w:rsidRPr="00B42C7F">
        <w:rPr>
          <w:rFonts w:asciiTheme="majorHAnsi" w:hAnsiTheme="majorHAnsi" w:cstheme="majorHAnsi"/>
          <w:sz w:val="22"/>
          <w:szCs w:val="22"/>
        </w:rPr>
        <w:t>Producent</w:t>
      </w:r>
      <w:r w:rsidRPr="00B42C7F">
        <w:rPr>
          <w:rFonts w:asciiTheme="majorHAnsi" w:hAnsiTheme="majorHAnsi" w:cstheme="majorHAnsi"/>
          <w:sz w:val="22"/>
          <w:szCs w:val="22"/>
        </w:rPr>
        <w:t xml:space="preserve">a opłaty wstępnej </w:t>
      </w:r>
      <w:r w:rsidR="00251920" w:rsidRPr="00B42C7F">
        <w:rPr>
          <w:rFonts w:asciiTheme="majorHAnsi" w:hAnsiTheme="majorHAnsi" w:cstheme="majorHAnsi"/>
          <w:sz w:val="22"/>
          <w:szCs w:val="22"/>
        </w:rPr>
        <w:t xml:space="preserve">bezzwrotnej </w:t>
      </w:r>
      <w:r w:rsidRPr="00B42C7F">
        <w:rPr>
          <w:rFonts w:asciiTheme="majorHAnsi" w:hAnsiTheme="majorHAnsi" w:cstheme="majorHAnsi"/>
          <w:sz w:val="22"/>
          <w:szCs w:val="22"/>
        </w:rPr>
        <w:t>obejmującej</w:t>
      </w:r>
      <w:r w:rsidR="00C15373" w:rsidRPr="00B42C7F">
        <w:rPr>
          <w:rFonts w:asciiTheme="majorHAnsi" w:hAnsiTheme="majorHAnsi" w:cstheme="majorHAnsi"/>
          <w:sz w:val="22"/>
          <w:szCs w:val="22"/>
        </w:rPr>
        <w:t xml:space="preserve"> wstępną</w:t>
      </w:r>
      <w:r w:rsidRPr="00B42C7F">
        <w:rPr>
          <w:rFonts w:asciiTheme="majorHAnsi" w:hAnsiTheme="majorHAnsi" w:cstheme="majorHAnsi"/>
          <w:sz w:val="22"/>
          <w:szCs w:val="22"/>
        </w:rPr>
        <w:t xml:space="preserve"> analizę i ocenę </w:t>
      </w:r>
      <w:r w:rsidR="00251920" w:rsidRPr="00B42C7F">
        <w:rPr>
          <w:rFonts w:asciiTheme="majorHAnsi" w:hAnsiTheme="majorHAnsi" w:cstheme="majorHAnsi"/>
          <w:sz w:val="22"/>
          <w:szCs w:val="22"/>
        </w:rPr>
        <w:t xml:space="preserve">formalną </w:t>
      </w:r>
      <w:r w:rsidRPr="00E8242F">
        <w:rPr>
          <w:rFonts w:asciiTheme="majorHAnsi" w:hAnsiTheme="majorHAnsi" w:cstheme="majorHAnsi"/>
          <w:sz w:val="22"/>
          <w:szCs w:val="22"/>
        </w:rPr>
        <w:t>dokumentacji</w:t>
      </w:r>
      <w:r w:rsidR="00910ACD" w:rsidRPr="00E8242F">
        <w:rPr>
          <w:rFonts w:asciiTheme="majorHAnsi" w:hAnsiTheme="majorHAnsi" w:cstheme="majorHAnsi"/>
          <w:sz w:val="22"/>
          <w:szCs w:val="22"/>
        </w:rPr>
        <w:t xml:space="preserve"> technicznej</w:t>
      </w:r>
      <w:r w:rsidR="00A75C5A" w:rsidRPr="00BC7FD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A75C5A" w:rsidRPr="00B42C7F">
        <w:rPr>
          <w:rFonts w:asciiTheme="majorHAnsi" w:hAnsiTheme="majorHAnsi" w:cstheme="majorHAnsi"/>
          <w:sz w:val="22"/>
          <w:szCs w:val="22"/>
        </w:rPr>
        <w:t xml:space="preserve">(w tym </w:t>
      </w:r>
      <w:r w:rsidR="00B42C7F" w:rsidRPr="00B42C7F">
        <w:rPr>
          <w:rFonts w:asciiTheme="majorHAnsi" w:hAnsiTheme="majorHAnsi" w:cstheme="majorHAnsi"/>
          <w:sz w:val="22"/>
          <w:szCs w:val="22"/>
        </w:rPr>
        <w:t>dokumentacj</w:t>
      </w:r>
      <w:r w:rsidR="00B42C7F">
        <w:rPr>
          <w:rFonts w:asciiTheme="majorHAnsi" w:hAnsiTheme="majorHAnsi" w:cstheme="majorHAnsi"/>
          <w:sz w:val="22"/>
          <w:szCs w:val="22"/>
        </w:rPr>
        <w:t>i</w:t>
      </w:r>
      <w:r w:rsidR="00B42C7F" w:rsidRPr="00B42C7F">
        <w:rPr>
          <w:rFonts w:asciiTheme="majorHAnsi" w:hAnsiTheme="majorHAnsi" w:cstheme="majorHAnsi"/>
          <w:sz w:val="22"/>
          <w:szCs w:val="22"/>
        </w:rPr>
        <w:t xml:space="preserve"> dotycząc</w:t>
      </w:r>
      <w:r w:rsidR="00B42C7F">
        <w:rPr>
          <w:rFonts w:asciiTheme="majorHAnsi" w:hAnsiTheme="majorHAnsi" w:cstheme="majorHAnsi"/>
          <w:sz w:val="22"/>
          <w:szCs w:val="22"/>
        </w:rPr>
        <w:t>ej</w:t>
      </w:r>
      <w:r w:rsidR="00B42C7F" w:rsidRPr="00B42C7F">
        <w:rPr>
          <w:rFonts w:asciiTheme="majorHAnsi" w:hAnsiTheme="majorHAnsi" w:cstheme="majorHAnsi"/>
          <w:sz w:val="22"/>
          <w:szCs w:val="22"/>
        </w:rPr>
        <w:t xml:space="preserve"> </w:t>
      </w:r>
      <w:r w:rsidR="00A75C5A" w:rsidRPr="00B42C7F">
        <w:rPr>
          <w:rFonts w:asciiTheme="majorHAnsi" w:hAnsiTheme="majorHAnsi" w:cstheme="majorHAnsi"/>
          <w:sz w:val="22"/>
          <w:szCs w:val="22"/>
        </w:rPr>
        <w:t xml:space="preserve">systemu jakości w module D1 – </w:t>
      </w:r>
      <w:r w:rsidR="00A75C5A" w:rsidRPr="000B01DB">
        <w:rPr>
          <w:rFonts w:asciiTheme="majorHAnsi" w:hAnsiTheme="majorHAnsi" w:cstheme="majorHAnsi"/>
          <w:sz w:val="22"/>
          <w:szCs w:val="22"/>
        </w:rPr>
        <w:t>jeśli konieczne)</w:t>
      </w:r>
      <w:r w:rsidR="005C6FFB" w:rsidRPr="000B01DB">
        <w:rPr>
          <w:rFonts w:asciiTheme="majorHAnsi" w:hAnsiTheme="majorHAnsi" w:cstheme="majorHAnsi"/>
          <w:sz w:val="22"/>
          <w:szCs w:val="22"/>
        </w:rPr>
        <w:t xml:space="preserve">, której wysokość określono w </w:t>
      </w:r>
      <w:r w:rsidR="007C0668" w:rsidRPr="000B01DB">
        <w:rPr>
          <w:rFonts w:asciiTheme="majorHAnsi" w:hAnsiTheme="majorHAnsi" w:cstheme="majorHAnsi"/>
          <w:sz w:val="22"/>
          <w:szCs w:val="22"/>
        </w:rPr>
        <w:t>Kosztorysie</w:t>
      </w:r>
      <w:r w:rsidR="005C6FFB" w:rsidRPr="000B01DB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74D0E5CF" w14:textId="55F4E705" w:rsidR="00976EE9" w:rsidRDefault="00B42C7F" w:rsidP="00220C62">
      <w:pPr>
        <w:widowControl w:val="0"/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d)</w:t>
      </w:r>
      <w:r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5C6FFB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otrzymaniu przez PCBC kompletnej </w:t>
      </w:r>
      <w:r w:rsidR="00655579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dokumenta</w:t>
      </w:r>
      <w:r w:rsidR="005C6FFB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cji</w:t>
      </w:r>
      <w:r w:rsidR="004D34ED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dotyczącej</w:t>
      </w:r>
      <w:r w:rsidR="00655579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67374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C47B7D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="008A5C23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(wskazanej we </w:t>
      </w:r>
      <w:r w:rsidR="00910ACD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8A5C23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niosku o ocenę zgodności </w:t>
      </w:r>
      <w:r w:rsidR="000B01DB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nawozowego </w:t>
      </w:r>
      <w:r w:rsidR="008A5C23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UE)</w:t>
      </w:r>
      <w:r w:rsidR="004D6197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55CDC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56C9D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jak również</w:t>
      </w:r>
      <w:r w:rsidR="00A55CDC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innych dokumentów wymaganych</w:t>
      </w:r>
      <w:r w:rsidR="00655579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właściwymi przepisami p</w:t>
      </w:r>
      <w:r w:rsidR="005C6FFB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rawa</w:t>
      </w:r>
      <w:r w:rsidR="002F327F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55CDC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niezbędnych do przeprowadzenia</w:t>
      </w:r>
      <w:r w:rsidR="004D34ED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D34ED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oceny</w:t>
      </w:r>
      <w:r w:rsidR="005C6FFB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109B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zgodności </w:t>
      </w:r>
      <w:r w:rsidR="00B67374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1035B1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UE</w:t>
      </w:r>
      <w:r w:rsidR="0027623D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64E04ED4" w14:textId="03767D96" w:rsidR="00581867" w:rsidRDefault="00581867" w:rsidP="00220C62">
      <w:pPr>
        <w:widowControl w:val="0"/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e)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6F7CFD">
        <w:rPr>
          <w:rFonts w:asciiTheme="majorHAnsi" w:hAnsiTheme="majorHAnsi" w:cstheme="majorHAnsi"/>
          <w:sz w:val="22"/>
          <w:szCs w:val="22"/>
        </w:rPr>
        <w:t>przeprowadzeniu przez PCBC wstępnej analizy i oceny formalnej dokumentacji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F7CFD">
        <w:rPr>
          <w:rFonts w:asciiTheme="majorHAnsi" w:hAnsiTheme="majorHAnsi" w:cstheme="majorHAnsi"/>
          <w:sz w:val="22"/>
          <w:szCs w:val="22"/>
        </w:rPr>
        <w:t xml:space="preserve">celem ustalenia, czy </w:t>
      </w:r>
      <w:r w:rsidR="00047F96">
        <w:rPr>
          <w:rFonts w:asciiTheme="majorHAnsi" w:hAnsiTheme="majorHAnsi" w:cstheme="majorHAnsi"/>
          <w:sz w:val="22"/>
          <w:szCs w:val="22"/>
        </w:rPr>
        <w:t>Producent przesłał do PCBC wszystkie wymagane dokumenty i dane niezbędne do przeprowadzenia oceny</w:t>
      </w:r>
      <w:r w:rsidR="00BF187E">
        <w:rPr>
          <w:rFonts w:asciiTheme="majorHAnsi" w:hAnsiTheme="majorHAnsi" w:cstheme="majorHAnsi"/>
          <w:sz w:val="22"/>
          <w:szCs w:val="22"/>
        </w:rPr>
        <w:t>,</w:t>
      </w:r>
      <w:r w:rsidR="00047F9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jak również </w:t>
      </w:r>
      <w:r w:rsidRPr="006F7CFD">
        <w:rPr>
          <w:rFonts w:asciiTheme="majorHAnsi" w:hAnsiTheme="majorHAnsi" w:cstheme="majorHAnsi"/>
          <w:sz w:val="22"/>
          <w:szCs w:val="22"/>
        </w:rPr>
        <w:t xml:space="preserve">czy </w:t>
      </w:r>
      <w:r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Producent spełnił mające zastosowanie obowiązki w zakresie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>ceny zgodności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DE80B03" w14:textId="57B6B2AF" w:rsidR="00581867" w:rsidRPr="0024407D" w:rsidRDefault="00581867" w:rsidP="001832A1">
      <w:pPr>
        <w:widowControl w:val="0"/>
        <w:tabs>
          <w:tab w:val="left" w:pos="1276"/>
        </w:tabs>
        <w:spacing w:beforeLines="20" w:before="48" w:afterLines="20" w:after="48"/>
        <w:ind w:left="127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5818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przeprowadza </w:t>
      </w:r>
      <w:r w:rsidR="00166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wstępną </w:t>
      </w:r>
      <w:r w:rsidR="009A0D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analizę 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ocenę</w:t>
      </w:r>
      <w:r w:rsidR="00166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formalną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 o której mowa powyżej</w:t>
      </w:r>
      <w:r w:rsidR="009A0D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(odpowiednio)</w:t>
      </w:r>
      <w:r w:rsidR="00CE3C7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66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 otrzymaniu dokumentów wskazanych w </w:t>
      </w:r>
      <w:r w:rsidR="001832A1">
        <w:rPr>
          <w:rFonts w:asciiTheme="majorHAnsi" w:hAnsiTheme="majorHAnsi" w:cstheme="majorHAnsi"/>
          <w:color w:val="000000" w:themeColor="text1"/>
          <w:sz w:val="22"/>
          <w:szCs w:val="22"/>
        </w:rPr>
        <w:t>li</w:t>
      </w:r>
      <w:r w:rsidR="00166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t. a) – d) powyżej. </w:t>
      </w:r>
      <w:bookmarkStart w:id="1" w:name="_Hlk97807308"/>
    </w:p>
    <w:bookmarkEnd w:id="1"/>
    <w:p w14:paraId="14F6359C" w14:textId="5B277BA7" w:rsidR="00257E4F" w:rsidRDefault="00655579" w:rsidP="001D424B">
      <w:pPr>
        <w:widowControl w:val="0"/>
        <w:tabs>
          <w:tab w:val="left" w:pos="1276"/>
        </w:tabs>
        <w:spacing w:beforeLines="50" w:before="120" w:afterLines="20" w:after="48"/>
        <w:ind w:left="1276"/>
        <w:jc w:val="both"/>
        <w:rPr>
          <w:rFonts w:asciiTheme="majorHAnsi" w:hAnsiTheme="majorHAnsi" w:cstheme="majorHAnsi"/>
          <w:sz w:val="22"/>
          <w:szCs w:val="22"/>
        </w:rPr>
      </w:pPr>
      <w:r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przypadku stwierdzenia przez PCBC </w:t>
      </w:r>
      <w:r w:rsidR="009A0D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– w wyniku ww. </w:t>
      </w:r>
      <w:r w:rsidR="009A0D75" w:rsidRPr="006F7CFD">
        <w:rPr>
          <w:rFonts w:asciiTheme="majorHAnsi" w:hAnsiTheme="majorHAnsi" w:cstheme="majorHAnsi"/>
          <w:sz w:val="22"/>
          <w:szCs w:val="22"/>
        </w:rPr>
        <w:t>wstępnej analizy i oceny formalnej dokumentacji</w:t>
      </w:r>
      <w:r w:rsidR="009A0D75">
        <w:rPr>
          <w:rFonts w:asciiTheme="majorHAnsi" w:hAnsiTheme="majorHAnsi" w:cstheme="majorHAnsi"/>
          <w:sz w:val="22"/>
          <w:szCs w:val="22"/>
        </w:rPr>
        <w:t xml:space="preserve"> - </w:t>
      </w:r>
      <w:r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niekompletności dokumentacji</w:t>
      </w:r>
      <w:r w:rsid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(w tym danych lub informacji)</w:t>
      </w:r>
      <w:r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B67374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3E07E1"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wezwanie PCBC </w:t>
      </w:r>
      <w:r w:rsidRPr="000B01DB">
        <w:rPr>
          <w:rFonts w:asciiTheme="majorHAnsi" w:hAnsiTheme="majorHAnsi" w:cstheme="majorHAnsi"/>
          <w:color w:val="000000" w:themeColor="text1"/>
          <w:sz w:val="22"/>
          <w:szCs w:val="22"/>
        </w:rPr>
        <w:t>zobowiązany jest do jej uzupełnienia w nieprzekraczalnym</w:t>
      </w:r>
      <w:r w:rsidRPr="000B01DB">
        <w:rPr>
          <w:rFonts w:asciiTheme="majorHAnsi" w:hAnsiTheme="majorHAnsi" w:cstheme="majorHAnsi"/>
          <w:sz w:val="22"/>
          <w:szCs w:val="22"/>
        </w:rPr>
        <w:t xml:space="preserve"> terminie </w:t>
      </w:r>
      <w:r w:rsidR="001035B1" w:rsidRPr="000B01DB">
        <w:rPr>
          <w:rFonts w:asciiTheme="majorHAnsi" w:hAnsiTheme="majorHAnsi" w:cstheme="majorHAnsi"/>
          <w:sz w:val="22"/>
          <w:szCs w:val="22"/>
        </w:rPr>
        <w:t>3</w:t>
      </w:r>
      <w:r w:rsidRPr="000B01DB">
        <w:rPr>
          <w:rFonts w:asciiTheme="majorHAnsi" w:hAnsiTheme="majorHAnsi" w:cstheme="majorHAnsi"/>
          <w:sz w:val="22"/>
          <w:szCs w:val="22"/>
        </w:rPr>
        <w:t>0 dni</w:t>
      </w:r>
      <w:r w:rsidR="00581867">
        <w:rPr>
          <w:rFonts w:asciiTheme="majorHAnsi" w:hAnsiTheme="majorHAnsi" w:cstheme="majorHAnsi"/>
          <w:sz w:val="22"/>
          <w:szCs w:val="22"/>
        </w:rPr>
        <w:t>.</w:t>
      </w:r>
    </w:p>
    <w:p w14:paraId="7032B8BD" w14:textId="7E3B7E42" w:rsidR="00976EE9" w:rsidRPr="00257E4F" w:rsidRDefault="00655579" w:rsidP="00257E4F">
      <w:pPr>
        <w:widowControl w:val="0"/>
        <w:tabs>
          <w:tab w:val="left" w:pos="1276"/>
        </w:tabs>
        <w:spacing w:beforeLines="20" w:before="48" w:afterLines="20" w:after="48"/>
        <w:ind w:left="127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>Niezłożenie w ww. terminie dokumentacji</w:t>
      </w:r>
      <w:r w:rsidR="002F327F"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B01DB"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(danych lub informacji) uzupełniającej </w:t>
      </w:r>
      <w:r w:rsidR="002F327F"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>wskazanej przez PCBC</w:t>
      </w:r>
      <w:r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946D9"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>lub jej</w:t>
      </w:r>
      <w:r w:rsidR="000B01DB"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>/ich</w:t>
      </w:r>
      <w:r w:rsidR="00A946D9"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niekompletność skutkuje</w:t>
      </w:r>
      <w:r w:rsidR="00156C9D"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odesłanie</w:t>
      </w:r>
      <w:r w:rsidR="00A946D9"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B01DB"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dokumentacji </w:t>
      </w:r>
      <w:r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</w:t>
      </w:r>
      <w:r w:rsidR="00B67374"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901BD7" w:rsidRPr="00257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B01DB" w:rsidRPr="00257E4F">
        <w:rPr>
          <w:rFonts w:asciiTheme="majorHAnsi" w:hAnsiTheme="majorHAnsi" w:cstheme="minorHAnsi"/>
          <w:color w:val="000000"/>
          <w:sz w:val="22"/>
          <w:szCs w:val="22"/>
        </w:rPr>
        <w:t>wraz z informacją, że odesłanie ww. dokumentacji jest równoznaczne z odmową przeprowadzenia przez PCBC oceny zgodności ze skutkiem natychmiastowym</w:t>
      </w:r>
      <w:r w:rsidR="00E8242F" w:rsidRPr="00257E4F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6895ED1F" w14:textId="749F39EA" w:rsidR="00976EE9" w:rsidRDefault="000B01DB" w:rsidP="00976EE9">
      <w:pPr>
        <w:widowControl w:val="0"/>
        <w:tabs>
          <w:tab w:val="left" w:pos="1276"/>
        </w:tabs>
        <w:spacing w:beforeLines="20" w:before="48" w:afterLines="20" w:after="48"/>
        <w:ind w:left="127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PCBC – stosując odpowiednio postanowienia ust. 7 pkt 7.1. – uwzględnia w wydanej na piśmie decyzji o odmowie przeprowadzenia </w:t>
      </w:r>
      <w:r>
        <w:rPr>
          <w:rFonts w:asciiTheme="majorHAnsi" w:hAnsiTheme="majorHAnsi" w:cstheme="minorHAnsi"/>
          <w:color w:val="000000"/>
          <w:sz w:val="22"/>
          <w:szCs w:val="22"/>
        </w:rPr>
        <w:t>o</w:t>
      </w:r>
      <w:r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ceny zgodności przyczynę odmowy tj. brak uzupełnienia przez Producenta </w:t>
      </w:r>
      <w:r>
        <w:rPr>
          <w:rFonts w:asciiTheme="majorHAnsi" w:hAnsiTheme="majorHAnsi" w:cstheme="minorHAnsi"/>
          <w:color w:val="000000"/>
          <w:sz w:val="22"/>
          <w:szCs w:val="22"/>
        </w:rPr>
        <w:t>wymaganej dokumentacji (</w:t>
      </w:r>
      <w:r w:rsidRPr="000B01DB">
        <w:rPr>
          <w:rFonts w:asciiTheme="majorHAnsi" w:hAnsiTheme="majorHAnsi" w:cstheme="minorHAnsi"/>
          <w:color w:val="000000"/>
          <w:sz w:val="22"/>
          <w:szCs w:val="22"/>
        </w:rPr>
        <w:t>wymaganych danych lub informacji</w:t>
      </w:r>
      <w:r>
        <w:rPr>
          <w:rFonts w:asciiTheme="majorHAnsi" w:hAnsiTheme="majorHAnsi" w:cstheme="minorHAnsi"/>
          <w:color w:val="000000"/>
          <w:sz w:val="22"/>
          <w:szCs w:val="22"/>
        </w:rPr>
        <w:t>)</w:t>
      </w:r>
      <w:r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 w wyznaczonym terminie</w:t>
      </w:r>
      <w:r w:rsidR="00E8242F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E8242F">
        <w:rPr>
          <w:rFonts w:asciiTheme="majorHAnsi" w:hAnsiTheme="majorHAnsi" w:cstheme="minorHAnsi"/>
          <w:color w:val="000000"/>
          <w:sz w:val="22"/>
          <w:szCs w:val="22"/>
        </w:rPr>
        <w:t>W</w:t>
      </w:r>
      <w:r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obec tej decyzji nie mają zastosowania postanowienia § 5, jak też Producent nie ma prawa ustosunkowania się do ww. decyzji. Decyzję, o której mowa w zdaniu poprzednim PCBC przekazuje Producentowi </w:t>
      </w:r>
      <w:r w:rsidRPr="000B01DB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na adres </w:t>
      </w:r>
      <w:r w:rsidR="009500B0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e-mail </w:t>
      </w:r>
      <w:r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wskazany przez Producenta w </w:t>
      </w:r>
      <w:r w:rsidRPr="00FC112D">
        <w:rPr>
          <w:rFonts w:asciiTheme="majorHAnsi" w:hAnsiTheme="majorHAnsi" w:cstheme="minorHAnsi"/>
          <w:color w:val="000000"/>
          <w:sz w:val="22"/>
          <w:szCs w:val="22"/>
        </w:rPr>
        <w:t>§ </w:t>
      </w:r>
      <w:r w:rsidR="006812B8">
        <w:rPr>
          <w:rFonts w:asciiTheme="majorHAnsi" w:hAnsiTheme="majorHAnsi" w:cstheme="minorHAnsi"/>
          <w:color w:val="000000"/>
          <w:sz w:val="22"/>
          <w:szCs w:val="22"/>
        </w:rPr>
        <w:t>9</w:t>
      </w:r>
      <w:r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 niniejszej umowy</w:t>
      </w:r>
      <w:r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E507BBA" w14:textId="77777777" w:rsidR="00581867" w:rsidRDefault="00850FDA" w:rsidP="00976EE9">
      <w:pPr>
        <w:widowControl w:val="0"/>
        <w:tabs>
          <w:tab w:val="left" w:pos="1276"/>
        </w:tabs>
        <w:spacing w:beforeLines="20" w:before="48" w:afterLines="20" w:after="48"/>
        <w:ind w:left="127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Ponowne rozpoczęcie oceny zgodności wymaga złożenia </w:t>
      </w:r>
      <w:r w:rsid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przez Producenta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nowego </w:t>
      </w:r>
      <w:r w:rsidR="000B4F74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niosku</w:t>
      </w:r>
      <w:r w:rsidR="000B01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D2BFB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0B01DB">
        <w:rPr>
          <w:rFonts w:asciiTheme="majorHAnsi" w:hAnsiTheme="majorHAnsi" w:cstheme="majorHAnsi"/>
          <w:color w:val="000000" w:themeColor="text1"/>
          <w:sz w:val="22"/>
          <w:szCs w:val="22"/>
        </w:rPr>
        <w:t>o przeprowadzenie oceny zgodności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EA423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bookmarkStart w:id="2" w:name="_Hlk483394662"/>
    </w:p>
    <w:bookmarkEnd w:id="2"/>
    <w:p w14:paraId="626A5B65" w14:textId="4F6205EE" w:rsidR="00426743" w:rsidRPr="008F5DA7" w:rsidRDefault="003E2D25" w:rsidP="008F5DA7">
      <w:pPr>
        <w:pStyle w:val="Akapitzlist"/>
        <w:widowControl w:val="0"/>
        <w:numPr>
          <w:ilvl w:val="1"/>
          <w:numId w:val="1"/>
        </w:numPr>
        <w:spacing w:beforeLines="20" w:before="48" w:afterLines="20" w:after="48"/>
        <w:ind w:hanging="75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655579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okumentację </w:t>
      </w:r>
      <w:r w:rsidR="001C34CD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techniczną </w:t>
      </w:r>
      <w:r w:rsidR="00B67374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</w:t>
      </w:r>
      <w:r w:rsidR="001C34CD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nawozowego UE </w:t>
      </w:r>
      <w:r w:rsidR="00655579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dostarcza </w:t>
      </w:r>
      <w:r w:rsidR="00B67374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języku polskim</w:t>
      </w:r>
      <w:r w:rsidR="00927C9A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lub angielskim. Informacja o wyborze języka powinna zostać wskazana przez </w:t>
      </w:r>
      <w:r w:rsidR="00B67374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927C9A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we </w:t>
      </w:r>
      <w:r w:rsidR="00A75C5A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927C9A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>niosku</w:t>
      </w:r>
      <w:r w:rsidR="00A75C5A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03F5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A75C5A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>o ocenę zgodności</w:t>
      </w:r>
      <w:r w:rsidR="00927C9A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9500B0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111E45" w:rsidRPr="008F5DA7">
        <w:rPr>
          <w:rFonts w:asciiTheme="majorHAnsi" w:hAnsiTheme="majorHAnsi" w:cstheme="majorHAnsi"/>
          <w:color w:val="000000" w:themeColor="text1"/>
          <w:sz w:val="22"/>
          <w:szCs w:val="22"/>
        </w:rPr>
        <w:t>okumenty przekazywane są przez Producenta do PCBC w formacie zapisów elektronicznych i/lub wersji papierowej.</w:t>
      </w:r>
    </w:p>
    <w:p w14:paraId="14E235FB" w14:textId="320F546F" w:rsidR="00976EE9" w:rsidRDefault="00D30936" w:rsidP="00814F01">
      <w:pPr>
        <w:widowControl w:val="0"/>
        <w:numPr>
          <w:ilvl w:val="1"/>
          <w:numId w:val="1"/>
        </w:numPr>
        <w:tabs>
          <w:tab w:val="clear" w:pos="750"/>
          <w:tab w:val="left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3" w:name="_Hlk516126370"/>
      <w:r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Wraz z zakończeniem wstępnej analizy otrzymanej od </w:t>
      </w:r>
      <w:r w:rsidR="00B6737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kompletnej dokumentacji </w:t>
      </w:r>
      <w:r w:rsidR="00814F01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814F01" w:rsidRPr="00814F01">
        <w:rPr>
          <w:rFonts w:asciiTheme="majorHAnsi" w:hAnsiTheme="majorHAnsi" w:cstheme="minorHAnsi"/>
          <w:color w:val="000000"/>
          <w:sz w:val="22"/>
          <w:szCs w:val="22"/>
        </w:rPr>
        <w:t xml:space="preserve">a w przypadku konieczności uzupełnienia dokumentacji, danych lub informacji zgodnie z ust. 5 – po otrzymaniu przez PCBC takiej/takich uzupełnionej dokumentacji, danych lub informacji </w:t>
      </w:r>
      <w:r w:rsidR="00703F58">
        <w:rPr>
          <w:rFonts w:asciiTheme="majorHAnsi" w:hAnsiTheme="majorHAnsi" w:cstheme="minorHAnsi"/>
          <w:color w:val="000000"/>
          <w:sz w:val="22"/>
          <w:szCs w:val="22"/>
        </w:rPr>
        <w:br/>
      </w:r>
      <w:r w:rsidR="00814F01" w:rsidRPr="00814F01">
        <w:rPr>
          <w:rFonts w:asciiTheme="majorHAnsi" w:hAnsiTheme="majorHAnsi" w:cstheme="minorHAnsi"/>
          <w:color w:val="000000"/>
          <w:sz w:val="22"/>
          <w:szCs w:val="22"/>
        </w:rPr>
        <w:t>w wyznaczonym przez PCBC terminie)</w:t>
      </w:r>
      <w:r w:rsidR="00814F01" w:rsidRPr="00814F01" w:rsidDel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podejmuje decyzję, czy </w:t>
      </w:r>
      <w:bookmarkStart w:id="4" w:name="_Hlk49841541"/>
      <w:r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zachodzą podstawy do przeprowadzenia oceny zgodności </w:t>
      </w:r>
      <w:r w:rsidR="00B6737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4F4371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UE</w:t>
      </w:r>
      <w:bookmarkEnd w:id="4"/>
      <w:r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O decyzji o przeprowadzeniu oceny </w:t>
      </w:r>
      <w:r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>zgodności lub odmowie przeprowadzenia oceny zgodności</w:t>
      </w:r>
      <w:r w:rsidR="001334B2"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PCBC informuje </w:t>
      </w:r>
      <w:r w:rsidR="00B67374"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1334B2"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500B0" w:rsidRPr="000B01DB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na adres </w:t>
      </w:r>
      <w:r w:rsidR="009500B0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e-mail </w:t>
      </w:r>
      <w:r w:rsidR="009500B0"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wskazany przez Producenta w </w:t>
      </w:r>
      <w:r w:rsidR="009500B0" w:rsidRPr="00FC112D">
        <w:rPr>
          <w:rFonts w:asciiTheme="majorHAnsi" w:hAnsiTheme="majorHAnsi" w:cstheme="minorHAnsi"/>
          <w:color w:val="000000"/>
          <w:sz w:val="22"/>
          <w:szCs w:val="22"/>
        </w:rPr>
        <w:t>§ </w:t>
      </w:r>
      <w:r w:rsidR="009500B0">
        <w:rPr>
          <w:rFonts w:asciiTheme="majorHAnsi" w:hAnsiTheme="majorHAnsi" w:cstheme="minorHAnsi"/>
          <w:color w:val="000000"/>
          <w:sz w:val="22"/>
          <w:szCs w:val="22"/>
        </w:rPr>
        <w:t>9</w:t>
      </w:r>
      <w:r w:rsidR="009500B0"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 niniejszej umowy</w:t>
      </w:r>
      <w:r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F32B8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574383D" w14:textId="02A52752" w:rsidR="00814F01" w:rsidRPr="00814F01" w:rsidRDefault="00F32B84" w:rsidP="00976EE9">
      <w:pPr>
        <w:widowControl w:val="0"/>
        <w:spacing w:beforeLines="20" w:before="48" w:afterLines="20" w:after="48"/>
        <w:ind w:left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decyzji o przeprowadzeniu oceny zgodności PCBC wskazuje prawdopodobny termin zakończenia oceny zgodności </w:t>
      </w:r>
      <w:r w:rsidR="00B6737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AF4F31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UE</w:t>
      </w:r>
      <w:r w:rsidR="00814F01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, który:</w:t>
      </w:r>
    </w:p>
    <w:p w14:paraId="66695139" w14:textId="58A294CC" w:rsidR="00814F01" w:rsidRPr="00732292" w:rsidRDefault="00814F01" w:rsidP="00C11025">
      <w:pPr>
        <w:pStyle w:val="Akapitzlist"/>
        <w:widowControl w:val="0"/>
        <w:numPr>
          <w:ilvl w:val="0"/>
          <w:numId w:val="52"/>
        </w:numPr>
        <w:spacing w:beforeLines="20" w:before="48" w:afterLines="20" w:after="48"/>
        <w:ind w:hanging="57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32292">
        <w:rPr>
          <w:rFonts w:asciiTheme="majorHAnsi" w:hAnsiTheme="majorHAnsi" w:cstheme="majorHAnsi"/>
          <w:color w:val="000000" w:themeColor="text1"/>
          <w:sz w:val="22"/>
          <w:szCs w:val="22"/>
        </w:rPr>
        <w:t>dla modułu B lub modułu D1 – nie powinien być dłuższy niż 180 dni od dnia wydania przez PCBC decyzji o przeprowadzeniu oceny zgodności;</w:t>
      </w:r>
    </w:p>
    <w:p w14:paraId="1F94DE21" w14:textId="08D9D414" w:rsidR="00814F01" w:rsidRPr="00111E45" w:rsidRDefault="00814F01" w:rsidP="00C11025">
      <w:pPr>
        <w:pStyle w:val="Akapitzlist"/>
        <w:widowControl w:val="0"/>
        <w:numPr>
          <w:ilvl w:val="0"/>
          <w:numId w:val="52"/>
        </w:numPr>
        <w:spacing w:beforeLines="20" w:before="48" w:afterLines="20" w:after="48"/>
        <w:ind w:hanging="57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dla </w:t>
      </w:r>
      <w:r w:rsidRPr="00732292">
        <w:rPr>
          <w:rFonts w:asciiTheme="majorHAnsi" w:hAnsiTheme="majorHAnsi" w:cstheme="majorHAnsi"/>
          <w:color w:val="000000" w:themeColor="text1"/>
          <w:sz w:val="22"/>
          <w:szCs w:val="22"/>
        </w:rPr>
        <w:t>modułu A1 - nie powinien być dłuższy niż 50 dni roboczych od dnia wydania przez PCBC decyzji o przeprowadzeniu oceny zgodności.</w:t>
      </w:r>
    </w:p>
    <w:p w14:paraId="460D182D" w14:textId="77777777" w:rsidR="00703F58" w:rsidRDefault="00814F01" w:rsidP="0083559E">
      <w:pPr>
        <w:widowControl w:val="0"/>
        <w:spacing w:beforeLines="20" w:before="48" w:afterLines="20" w:after="48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732292">
        <w:rPr>
          <w:rFonts w:asciiTheme="majorHAnsi" w:hAnsiTheme="majorHAnsi" w:cstheme="minorHAnsi"/>
          <w:color w:val="000000"/>
          <w:sz w:val="22"/>
          <w:szCs w:val="22"/>
        </w:rPr>
        <w:t xml:space="preserve">Ze względu </w:t>
      </w:r>
      <w:r w:rsidRPr="00F425C4">
        <w:rPr>
          <w:rFonts w:asciiTheme="majorHAnsi" w:hAnsiTheme="majorHAnsi" w:cstheme="minorHAnsi"/>
          <w:color w:val="000000"/>
          <w:sz w:val="22"/>
          <w:szCs w:val="22"/>
        </w:rPr>
        <w:t xml:space="preserve">na możliwy </w:t>
      </w:r>
      <w:r w:rsidR="009500B0">
        <w:rPr>
          <w:rFonts w:asciiTheme="majorHAnsi" w:hAnsiTheme="majorHAnsi" w:cstheme="minorHAnsi"/>
          <w:color w:val="000000"/>
          <w:sz w:val="22"/>
          <w:szCs w:val="22"/>
        </w:rPr>
        <w:t>brak regulacji</w:t>
      </w:r>
      <w:r w:rsidRPr="00F425C4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732292" w:rsidRPr="00F425C4">
        <w:rPr>
          <w:rFonts w:asciiTheme="majorHAnsi" w:hAnsiTheme="majorHAnsi" w:cstheme="minorHAnsi"/>
          <w:color w:val="000000"/>
          <w:sz w:val="22"/>
          <w:szCs w:val="22"/>
        </w:rPr>
        <w:t>prawnych</w:t>
      </w:r>
      <w:r w:rsidRPr="00F425C4">
        <w:rPr>
          <w:rFonts w:asciiTheme="majorHAnsi" w:hAnsiTheme="majorHAnsi" w:cstheme="minorHAnsi"/>
          <w:color w:val="000000"/>
          <w:sz w:val="22"/>
          <w:szCs w:val="22"/>
        </w:rPr>
        <w:t xml:space="preserve"> odnosząc</w:t>
      </w:r>
      <w:r w:rsidR="00732292" w:rsidRPr="00F425C4">
        <w:rPr>
          <w:rFonts w:asciiTheme="majorHAnsi" w:hAnsiTheme="majorHAnsi" w:cstheme="minorHAnsi"/>
          <w:color w:val="000000"/>
          <w:sz w:val="22"/>
          <w:szCs w:val="22"/>
        </w:rPr>
        <w:t>ych</w:t>
      </w:r>
      <w:r w:rsidRPr="00F425C4">
        <w:rPr>
          <w:rFonts w:asciiTheme="majorHAnsi" w:hAnsiTheme="majorHAnsi" w:cstheme="minorHAnsi"/>
          <w:color w:val="000000"/>
          <w:sz w:val="22"/>
          <w:szCs w:val="22"/>
        </w:rPr>
        <w:t xml:space="preserve"> się do Rozporządzenia (UE) 2019/1009 lub brak wytycznych organów UE niepozwalając</w:t>
      </w:r>
      <w:r w:rsidR="00732292" w:rsidRPr="00732292">
        <w:rPr>
          <w:rFonts w:asciiTheme="majorHAnsi" w:hAnsiTheme="majorHAnsi" w:cstheme="minorHAnsi"/>
          <w:color w:val="000000"/>
          <w:sz w:val="22"/>
          <w:szCs w:val="22"/>
        </w:rPr>
        <w:t>ych</w:t>
      </w:r>
      <w:r w:rsidRPr="00F425C4">
        <w:rPr>
          <w:rFonts w:asciiTheme="majorHAnsi" w:hAnsiTheme="majorHAnsi" w:cstheme="minorHAnsi"/>
          <w:color w:val="000000"/>
          <w:sz w:val="22"/>
          <w:szCs w:val="22"/>
        </w:rPr>
        <w:t xml:space="preserve"> na techniczne przeprowadzenie procesu </w:t>
      </w:r>
      <w:r w:rsidR="00732292">
        <w:rPr>
          <w:rFonts w:asciiTheme="majorHAnsi" w:hAnsiTheme="majorHAnsi" w:cstheme="minorHAnsi"/>
          <w:color w:val="000000"/>
          <w:sz w:val="22"/>
          <w:szCs w:val="22"/>
        </w:rPr>
        <w:t>oceny zgodności</w:t>
      </w:r>
      <w:r w:rsidRPr="00F425C4">
        <w:rPr>
          <w:rFonts w:asciiTheme="majorHAnsi" w:hAnsiTheme="majorHAnsi" w:cstheme="minorHAnsi"/>
          <w:color w:val="000000"/>
          <w:sz w:val="22"/>
          <w:szCs w:val="22"/>
        </w:rPr>
        <w:t xml:space="preserve">, </w:t>
      </w:r>
      <w:r w:rsidR="00732292">
        <w:rPr>
          <w:rFonts w:asciiTheme="majorHAnsi" w:hAnsiTheme="majorHAnsi" w:cstheme="minorHAnsi"/>
          <w:color w:val="000000"/>
          <w:sz w:val="22"/>
          <w:szCs w:val="22"/>
        </w:rPr>
        <w:t xml:space="preserve">dany </w:t>
      </w:r>
      <w:r w:rsidRPr="00F425C4">
        <w:rPr>
          <w:rFonts w:asciiTheme="majorHAnsi" w:hAnsiTheme="majorHAnsi"/>
          <w:color w:val="000000"/>
          <w:sz w:val="22"/>
          <w:szCs w:val="22"/>
        </w:rPr>
        <w:t xml:space="preserve">termin, o którym mowa </w:t>
      </w:r>
      <w:r w:rsidR="00732292">
        <w:rPr>
          <w:rFonts w:asciiTheme="majorHAnsi" w:hAnsiTheme="majorHAnsi"/>
          <w:color w:val="000000"/>
          <w:sz w:val="22"/>
          <w:szCs w:val="22"/>
        </w:rPr>
        <w:t>powyżej</w:t>
      </w:r>
      <w:r w:rsidRPr="00F425C4">
        <w:rPr>
          <w:rFonts w:asciiTheme="majorHAnsi" w:hAnsiTheme="majorHAnsi"/>
          <w:color w:val="000000"/>
          <w:sz w:val="22"/>
          <w:szCs w:val="22"/>
        </w:rPr>
        <w:t xml:space="preserve">, może zostać przedłużony przez PCBC na podstawie jednostronnej decyzji PCBC. </w:t>
      </w:r>
    </w:p>
    <w:p w14:paraId="26B249E9" w14:textId="2F4F96DD" w:rsidR="00F32B84" w:rsidRPr="00814F01" w:rsidRDefault="00814F01" w:rsidP="0083559E">
      <w:pPr>
        <w:widowControl w:val="0"/>
        <w:spacing w:beforeLines="20" w:before="48" w:afterLines="20" w:after="48"/>
        <w:ind w:left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425C4">
        <w:rPr>
          <w:rFonts w:asciiTheme="majorHAnsi" w:hAnsiTheme="majorHAnsi"/>
          <w:color w:val="000000"/>
          <w:sz w:val="22"/>
          <w:szCs w:val="22"/>
        </w:rPr>
        <w:t xml:space="preserve">W takim przypadku PCBC wydaje </w:t>
      </w:r>
      <w:r w:rsidR="009500B0">
        <w:rPr>
          <w:rFonts w:asciiTheme="majorHAnsi" w:hAnsiTheme="majorHAnsi"/>
          <w:color w:val="000000"/>
          <w:sz w:val="22"/>
          <w:szCs w:val="22"/>
        </w:rPr>
        <w:t xml:space="preserve">na piśmie decyzję </w:t>
      </w:r>
      <w:r w:rsidRPr="00F425C4">
        <w:rPr>
          <w:rFonts w:asciiTheme="majorHAnsi" w:hAnsiTheme="majorHAnsi"/>
          <w:color w:val="000000"/>
          <w:sz w:val="22"/>
          <w:szCs w:val="22"/>
        </w:rPr>
        <w:t xml:space="preserve">o zmianie terminu zakończenia </w:t>
      </w:r>
      <w:r w:rsidR="00732292">
        <w:rPr>
          <w:rFonts w:asciiTheme="majorHAnsi" w:hAnsiTheme="majorHAnsi"/>
          <w:color w:val="000000"/>
          <w:sz w:val="22"/>
          <w:szCs w:val="22"/>
        </w:rPr>
        <w:t>o</w:t>
      </w:r>
      <w:r w:rsidRPr="00F425C4">
        <w:rPr>
          <w:rFonts w:asciiTheme="majorHAnsi" w:hAnsiTheme="majorHAnsi"/>
          <w:color w:val="000000"/>
          <w:sz w:val="22"/>
          <w:szCs w:val="22"/>
        </w:rPr>
        <w:t xml:space="preserve">ceny zgodności, w której </w:t>
      </w:r>
      <w:r w:rsidR="009500B0">
        <w:rPr>
          <w:rFonts w:asciiTheme="majorHAnsi" w:hAnsiTheme="majorHAnsi"/>
          <w:color w:val="000000"/>
          <w:sz w:val="22"/>
          <w:szCs w:val="22"/>
        </w:rPr>
        <w:t>wskazuje i uzasadnia</w:t>
      </w:r>
      <w:r w:rsidRPr="00F425C4">
        <w:rPr>
          <w:rFonts w:asciiTheme="majorHAnsi" w:hAnsiTheme="majorHAnsi"/>
          <w:color w:val="000000"/>
          <w:sz w:val="22"/>
          <w:szCs w:val="22"/>
        </w:rPr>
        <w:t xml:space="preserve"> przyczynę przedłużenia </w:t>
      </w:r>
      <w:r w:rsidR="00732292">
        <w:rPr>
          <w:rFonts w:asciiTheme="majorHAnsi" w:hAnsiTheme="majorHAnsi"/>
          <w:color w:val="000000"/>
          <w:sz w:val="22"/>
          <w:szCs w:val="22"/>
        </w:rPr>
        <w:t>o</w:t>
      </w:r>
      <w:r w:rsidRPr="00F425C4">
        <w:rPr>
          <w:rFonts w:asciiTheme="majorHAnsi" w:hAnsiTheme="majorHAnsi"/>
          <w:color w:val="000000"/>
          <w:sz w:val="22"/>
          <w:szCs w:val="22"/>
        </w:rPr>
        <w:t>ceny zgodności oraz wskaz</w:t>
      </w:r>
      <w:r w:rsidR="009500B0">
        <w:rPr>
          <w:rFonts w:asciiTheme="majorHAnsi" w:hAnsiTheme="majorHAnsi"/>
          <w:color w:val="000000"/>
          <w:sz w:val="22"/>
          <w:szCs w:val="22"/>
        </w:rPr>
        <w:t>uje</w:t>
      </w:r>
      <w:r w:rsidRPr="00F425C4">
        <w:rPr>
          <w:rFonts w:asciiTheme="majorHAnsi" w:hAnsiTheme="majorHAnsi"/>
          <w:color w:val="000000"/>
          <w:sz w:val="22"/>
          <w:szCs w:val="22"/>
        </w:rPr>
        <w:t xml:space="preserve"> nowy termin zakończenia </w:t>
      </w:r>
      <w:r w:rsidR="00732292">
        <w:rPr>
          <w:rFonts w:asciiTheme="majorHAnsi" w:hAnsiTheme="majorHAnsi"/>
          <w:color w:val="000000"/>
          <w:sz w:val="22"/>
          <w:szCs w:val="22"/>
        </w:rPr>
        <w:t>o</w:t>
      </w:r>
      <w:r w:rsidR="00732292" w:rsidRPr="00732292">
        <w:rPr>
          <w:rFonts w:asciiTheme="majorHAnsi" w:hAnsiTheme="majorHAnsi"/>
          <w:color w:val="000000"/>
          <w:sz w:val="22"/>
          <w:szCs w:val="22"/>
        </w:rPr>
        <w:t xml:space="preserve">ceny zgodności </w:t>
      </w:r>
      <w:r w:rsidRPr="00F425C4">
        <w:rPr>
          <w:rFonts w:asciiTheme="majorHAnsi" w:hAnsiTheme="majorHAnsi"/>
          <w:color w:val="000000"/>
          <w:sz w:val="22"/>
          <w:szCs w:val="22"/>
        </w:rPr>
        <w:t xml:space="preserve">(przy czym PCBC może skorzystać w powyższego uprawnienia więcej niż jeden raz). </w:t>
      </w:r>
      <w:r w:rsidR="002F03EA"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Decyzję, o której mowa w zdaniu poprzednim PCBC przekazuje Producentowi </w:t>
      </w:r>
      <w:r w:rsidR="002F03EA" w:rsidRPr="000B01DB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na adres </w:t>
      </w:r>
      <w:r w:rsidR="002F03EA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e-mail </w:t>
      </w:r>
      <w:r w:rsidR="002F03EA"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wskazany przez Producenta w </w:t>
      </w:r>
      <w:r w:rsidR="002F03EA" w:rsidRPr="00FC112D">
        <w:rPr>
          <w:rFonts w:asciiTheme="majorHAnsi" w:hAnsiTheme="majorHAnsi" w:cstheme="minorHAnsi"/>
          <w:color w:val="000000"/>
          <w:sz w:val="22"/>
          <w:szCs w:val="22"/>
        </w:rPr>
        <w:t>§ </w:t>
      </w:r>
      <w:r w:rsidR="002F03EA">
        <w:rPr>
          <w:rFonts w:asciiTheme="majorHAnsi" w:hAnsiTheme="majorHAnsi" w:cstheme="minorHAnsi"/>
          <w:color w:val="000000"/>
          <w:sz w:val="22"/>
          <w:szCs w:val="22"/>
        </w:rPr>
        <w:t>9</w:t>
      </w:r>
      <w:r w:rsidR="002F03EA"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 niniejszej umowy</w:t>
      </w:r>
      <w:r w:rsidR="002F03EA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2F03EA" w:rsidRPr="00F425C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F425C4">
        <w:rPr>
          <w:rFonts w:asciiTheme="majorHAnsi" w:hAnsiTheme="majorHAnsi"/>
          <w:color w:val="000000"/>
          <w:sz w:val="22"/>
          <w:szCs w:val="22"/>
        </w:rPr>
        <w:t xml:space="preserve">Ponadto </w:t>
      </w:r>
      <w:r w:rsidR="00732292">
        <w:rPr>
          <w:rFonts w:asciiTheme="majorHAnsi" w:hAnsiTheme="majorHAnsi"/>
          <w:color w:val="000000"/>
          <w:sz w:val="22"/>
          <w:szCs w:val="22"/>
        </w:rPr>
        <w:t>S</w:t>
      </w:r>
      <w:r w:rsidRPr="00F425C4">
        <w:rPr>
          <w:rFonts w:asciiTheme="majorHAnsi" w:hAnsiTheme="majorHAnsi"/>
          <w:color w:val="000000"/>
          <w:sz w:val="22"/>
          <w:szCs w:val="22"/>
        </w:rPr>
        <w:t xml:space="preserve">trony ustalają że: </w:t>
      </w:r>
    </w:p>
    <w:p w14:paraId="57A4F586" w14:textId="2DA98233" w:rsidR="00F32B84" w:rsidRPr="00814F01" w:rsidRDefault="007C0668" w:rsidP="00111E45">
      <w:pPr>
        <w:pStyle w:val="Akapitzlist"/>
        <w:widowControl w:val="0"/>
        <w:tabs>
          <w:tab w:val="left" w:pos="426"/>
        </w:tabs>
        <w:spacing w:beforeLines="20" w:before="48" w:afterLines="20" w:after="48"/>
        <w:ind w:left="1416" w:hanging="707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AF4F31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.1 </w:t>
      </w:r>
      <w:r w:rsidR="0073229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F327F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Decyzja o odmowie przeprowadzenia oceny zgodności</w:t>
      </w:r>
      <w:r w:rsidR="0021195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musi zawierać uzasadnienie</w:t>
      </w:r>
      <w:r w:rsidR="002F327F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EA423C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bookmarkStart w:id="5" w:name="_Hlk483394681"/>
      <w:r w:rsidR="00976EE9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EA423C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W decyzji o odmowie przeprowadzenia oceny zgodności PCBC informuje o jej podstawach</w:t>
      </w:r>
      <w:r w:rsidR="00F32B8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BC92AD1" w14:textId="29178551" w:rsidR="00624034" w:rsidRPr="00814F01" w:rsidRDefault="007C0668" w:rsidP="00111E45">
      <w:pPr>
        <w:pStyle w:val="Akapitzlist"/>
        <w:widowControl w:val="0"/>
        <w:tabs>
          <w:tab w:val="left" w:pos="426"/>
        </w:tabs>
        <w:spacing w:beforeLines="20" w:before="48" w:afterLines="20" w:after="48"/>
        <w:ind w:left="1416" w:hanging="707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AF4F31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.2 </w:t>
      </w:r>
      <w:r w:rsidR="0073229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B6737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F32B8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 prawo </w:t>
      </w:r>
      <w:r w:rsidR="00321BE6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F32B8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ustosunkowania się do decyzji o </w:t>
      </w:r>
      <w:r w:rsidR="0062403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odmowie przeprowadzenia oceny zgodności </w:t>
      </w:r>
      <w:r w:rsidR="009A0D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(o której mowa w pkt 7.1. powyżej) </w:t>
      </w:r>
      <w:r w:rsidR="0062403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DC1DEF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624034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wyznaczonym przez PCBC terminie. </w:t>
      </w:r>
    </w:p>
    <w:p w14:paraId="449B0159" w14:textId="5290BE8C" w:rsidR="004D6197" w:rsidRPr="00732292" w:rsidRDefault="007C0668" w:rsidP="00111E45">
      <w:pPr>
        <w:pStyle w:val="Akapitzlist"/>
        <w:widowControl w:val="0"/>
        <w:tabs>
          <w:tab w:val="left" w:pos="426"/>
        </w:tabs>
        <w:spacing w:beforeLines="20" w:before="48" w:afterLines="20" w:after="48"/>
        <w:ind w:left="1416" w:hanging="707"/>
        <w:contextualSpacing w:val="0"/>
        <w:jc w:val="both"/>
      </w:pPr>
      <w:r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AF4F31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.3 </w:t>
      </w:r>
      <w:r w:rsidR="0073229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A423C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Decyzja ostateczna o odmowie przeprowadzenia oceny zgodności </w:t>
      </w:r>
      <w:r w:rsidR="002A409C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jest podejmowana przez PCBC </w:t>
      </w:r>
      <w:r w:rsidR="009A0D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(jeżeli Producent skorzysta z uprawnienia o którym mowa w pkt 7.2. powyżej – </w:t>
      </w:r>
      <w:r w:rsidR="00CE3C7A">
        <w:rPr>
          <w:rFonts w:asciiTheme="majorHAnsi" w:hAnsiTheme="majorHAnsi" w:cstheme="majorHAnsi"/>
          <w:color w:val="000000" w:themeColor="text1"/>
          <w:sz w:val="22"/>
          <w:szCs w:val="22"/>
        </w:rPr>
        <w:t>po zapoznaniu się ze stanowiskiem</w:t>
      </w:r>
      <w:r w:rsidR="009A0D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Producenta) </w:t>
      </w:r>
      <w:r w:rsidR="002A409C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</w:t>
      </w:r>
      <w:r w:rsidR="00EA423C" w:rsidRPr="00814F01">
        <w:rPr>
          <w:rFonts w:asciiTheme="majorHAnsi" w:hAnsiTheme="majorHAnsi" w:cstheme="majorHAnsi"/>
          <w:color w:val="000000" w:themeColor="text1"/>
          <w:sz w:val="22"/>
          <w:szCs w:val="22"/>
        </w:rPr>
        <w:t>nie może być kwestionowana przez</w:t>
      </w:r>
      <w:r w:rsidR="00EA423C"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67374"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EA423C"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0B4F74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EA423C"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wymaga </w:t>
      </w:r>
      <w:r w:rsidR="000B4F7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również </w:t>
      </w:r>
      <w:r w:rsidR="00EA423C"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>ze strony PCBC uzasadnienia</w:t>
      </w:r>
      <w:bookmarkEnd w:id="5"/>
      <w:r w:rsidR="00EA423C"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4B6CD1B1" w14:textId="16386FC2" w:rsidR="00426743" w:rsidRPr="006F7CFD" w:rsidRDefault="00324BED" w:rsidP="00732292">
      <w:pPr>
        <w:pStyle w:val="Akapitzlist"/>
        <w:widowControl w:val="0"/>
        <w:numPr>
          <w:ilvl w:val="1"/>
          <w:numId w:val="23"/>
        </w:numPr>
        <w:tabs>
          <w:tab w:val="clear" w:pos="750"/>
          <w:tab w:val="num" w:pos="709"/>
        </w:tabs>
        <w:spacing w:beforeLines="20" w:before="48" w:afterLines="20" w:after="48"/>
        <w:ind w:left="709" w:hanging="709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F7CFD">
        <w:rPr>
          <w:rFonts w:ascii="Calibri" w:hAnsi="Calibri"/>
          <w:sz w:val="22"/>
          <w:szCs w:val="22"/>
        </w:rPr>
        <w:t>Wyboru modułu oceny zgodności dokonuje Producent. PCBC potwierdza możliwość realizacji oceny zgodności danego PFC według wskazanego modułu</w:t>
      </w:r>
      <w:r w:rsidR="00B274A1" w:rsidRPr="006F7CFD">
        <w:rPr>
          <w:rFonts w:ascii="Calibri" w:hAnsi="Calibri"/>
          <w:sz w:val="22"/>
          <w:szCs w:val="22"/>
        </w:rPr>
        <w:t>.</w:t>
      </w:r>
      <w:bookmarkEnd w:id="3"/>
    </w:p>
    <w:p w14:paraId="4C71A5DD" w14:textId="0EA50F3E" w:rsidR="00F7485C" w:rsidRPr="006F7CFD" w:rsidRDefault="00655579" w:rsidP="00732292">
      <w:pPr>
        <w:widowControl w:val="0"/>
        <w:numPr>
          <w:ilvl w:val="1"/>
          <w:numId w:val="23"/>
        </w:numPr>
        <w:tabs>
          <w:tab w:val="clear" w:pos="750"/>
          <w:tab w:val="num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sz w:val="22"/>
          <w:szCs w:val="22"/>
        </w:rPr>
      </w:pPr>
      <w:r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Realizacja </w:t>
      </w:r>
      <w:proofErr w:type="spellStart"/>
      <w:r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certyfikującego przez PCBC </w:t>
      </w:r>
      <w:r w:rsidR="00B274A1"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>(dla modułu D1)</w:t>
      </w:r>
      <w:r w:rsidR="00436BB0" w:rsidRPr="006F7C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następuje w </w:t>
      </w:r>
      <w:r w:rsidR="00436BB0" w:rsidRPr="006F7CFD">
        <w:rPr>
          <w:rFonts w:asciiTheme="majorHAnsi" w:hAnsiTheme="majorHAnsi" w:cstheme="majorHAnsi"/>
          <w:sz w:val="22"/>
          <w:szCs w:val="22"/>
        </w:rPr>
        <w:t xml:space="preserve">terminie ustalonym </w:t>
      </w:r>
      <w:r w:rsidR="006F7CFD">
        <w:rPr>
          <w:rFonts w:asciiTheme="majorHAnsi" w:hAnsiTheme="majorHAnsi" w:cstheme="majorHAnsi"/>
          <w:sz w:val="22"/>
          <w:szCs w:val="22"/>
        </w:rPr>
        <w:br/>
      </w:r>
      <w:r w:rsidR="00436BB0" w:rsidRPr="006F7CFD">
        <w:rPr>
          <w:rFonts w:asciiTheme="majorHAnsi" w:hAnsiTheme="majorHAnsi" w:cstheme="majorHAnsi"/>
          <w:sz w:val="22"/>
          <w:szCs w:val="22"/>
        </w:rPr>
        <w:t xml:space="preserve">z </w:t>
      </w:r>
      <w:r w:rsidR="00B67374" w:rsidRPr="006F7CFD">
        <w:rPr>
          <w:rFonts w:asciiTheme="majorHAnsi" w:hAnsiTheme="majorHAnsi" w:cstheme="majorHAnsi"/>
          <w:sz w:val="22"/>
          <w:szCs w:val="22"/>
        </w:rPr>
        <w:t>Producent</w:t>
      </w:r>
      <w:r w:rsidR="004D34ED" w:rsidRPr="006F7CFD">
        <w:rPr>
          <w:rFonts w:asciiTheme="majorHAnsi" w:hAnsiTheme="majorHAnsi" w:cstheme="majorHAnsi"/>
          <w:sz w:val="22"/>
          <w:szCs w:val="22"/>
        </w:rPr>
        <w:t>em</w:t>
      </w:r>
      <w:r w:rsidR="00D6450D" w:rsidRPr="006F7CFD">
        <w:rPr>
          <w:rFonts w:asciiTheme="majorHAnsi" w:hAnsiTheme="majorHAnsi" w:cstheme="majorHAnsi"/>
          <w:sz w:val="22"/>
          <w:szCs w:val="22"/>
        </w:rPr>
        <w:t>.</w:t>
      </w:r>
    </w:p>
    <w:p w14:paraId="65C6546D" w14:textId="24180027" w:rsidR="00732292" w:rsidRPr="00732292" w:rsidRDefault="004F19BD" w:rsidP="00FC112D">
      <w:pPr>
        <w:widowControl w:val="0"/>
        <w:numPr>
          <w:ilvl w:val="1"/>
          <w:numId w:val="23"/>
        </w:numPr>
        <w:tabs>
          <w:tab w:val="left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sz w:val="22"/>
          <w:szCs w:val="22"/>
        </w:rPr>
        <w:t xml:space="preserve">Ocena zgodności (wraz z </w:t>
      </w:r>
      <w:proofErr w:type="spellStart"/>
      <w:r w:rsidRPr="00CE2931">
        <w:rPr>
          <w:rFonts w:asciiTheme="majorHAnsi" w:hAnsiTheme="majorHAnsi" w:cstheme="majorHAnsi"/>
          <w:sz w:val="22"/>
          <w:szCs w:val="22"/>
        </w:rPr>
        <w:t>a</w:t>
      </w:r>
      <w:r w:rsidR="002F2E93" w:rsidRPr="00CE2931">
        <w:rPr>
          <w:rFonts w:asciiTheme="majorHAnsi" w:hAnsiTheme="majorHAnsi" w:cstheme="majorHAnsi"/>
          <w:sz w:val="22"/>
          <w:szCs w:val="22"/>
        </w:rPr>
        <w:t>udit</w:t>
      </w:r>
      <w:r w:rsidRPr="00CE2931">
        <w:rPr>
          <w:rFonts w:asciiTheme="majorHAnsi" w:hAnsiTheme="majorHAnsi" w:cstheme="majorHAnsi"/>
          <w:sz w:val="22"/>
          <w:szCs w:val="22"/>
        </w:rPr>
        <w:t>em</w:t>
      </w:r>
      <w:proofErr w:type="spellEnd"/>
      <w:r w:rsidR="002F2E93" w:rsidRPr="00CE2931">
        <w:rPr>
          <w:rFonts w:asciiTheme="majorHAnsi" w:hAnsiTheme="majorHAnsi" w:cstheme="majorHAnsi"/>
          <w:sz w:val="22"/>
          <w:szCs w:val="22"/>
        </w:rPr>
        <w:t xml:space="preserve"> certyfikujący</w:t>
      </w:r>
      <w:r w:rsidRPr="00CE2931">
        <w:rPr>
          <w:rFonts w:asciiTheme="majorHAnsi" w:hAnsiTheme="majorHAnsi" w:cstheme="majorHAnsi"/>
          <w:sz w:val="22"/>
          <w:szCs w:val="22"/>
        </w:rPr>
        <w:t>m</w:t>
      </w:r>
      <w:r w:rsidR="00105A57" w:rsidRPr="00CE2931">
        <w:rPr>
          <w:rFonts w:asciiTheme="majorHAnsi" w:hAnsiTheme="majorHAnsi" w:cstheme="majorHAnsi"/>
          <w:sz w:val="22"/>
          <w:szCs w:val="22"/>
        </w:rPr>
        <w:t xml:space="preserve"> dla modułu D1</w:t>
      </w:r>
      <w:r w:rsidRPr="00CE2931">
        <w:rPr>
          <w:rFonts w:asciiTheme="majorHAnsi" w:hAnsiTheme="majorHAnsi" w:cstheme="majorHAnsi"/>
          <w:sz w:val="22"/>
          <w:szCs w:val="22"/>
        </w:rPr>
        <w:t>) prowadzona jest</w:t>
      </w:r>
      <w:r w:rsidR="002F2E93" w:rsidRPr="00CE2931">
        <w:rPr>
          <w:rFonts w:asciiTheme="majorHAnsi" w:hAnsiTheme="majorHAnsi" w:cstheme="majorHAnsi"/>
          <w:sz w:val="22"/>
          <w:szCs w:val="22"/>
        </w:rPr>
        <w:t xml:space="preserve"> według reguł określonych właściwymi przepisami prawa krajowego i wspólnotowego</w:t>
      </w:r>
      <w:r w:rsidR="0040675E" w:rsidRPr="00CE2931">
        <w:rPr>
          <w:rFonts w:asciiTheme="majorHAnsi" w:hAnsiTheme="majorHAnsi" w:cstheme="majorHAnsi"/>
          <w:sz w:val="22"/>
          <w:szCs w:val="22"/>
        </w:rPr>
        <w:t>.</w:t>
      </w:r>
    </w:p>
    <w:p w14:paraId="7771E8FD" w14:textId="0C40C2B5" w:rsidR="00426743" w:rsidRPr="00CE2931" w:rsidRDefault="00635466" w:rsidP="0083559E">
      <w:pPr>
        <w:widowControl w:val="0"/>
        <w:numPr>
          <w:ilvl w:val="1"/>
          <w:numId w:val="23"/>
        </w:numPr>
        <w:tabs>
          <w:tab w:val="left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uznaje raporty z badań </w:t>
      </w:r>
      <w:r w:rsidR="002A40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wykonane nie później niż 12 miesięcy przed dniem złożenia dokumentacji technicznej do oceny,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wykonane </w:t>
      </w:r>
      <w:r w:rsidRPr="00CE2931">
        <w:rPr>
          <w:rFonts w:asciiTheme="majorHAnsi" w:hAnsiTheme="majorHAnsi" w:cstheme="majorHAnsi"/>
          <w:sz w:val="22"/>
          <w:szCs w:val="22"/>
        </w:rPr>
        <w:t>w laboratorium akredytowanym</w:t>
      </w:r>
      <w:r w:rsidR="00672230">
        <w:rPr>
          <w:rFonts w:asciiTheme="majorHAnsi" w:hAnsiTheme="majorHAnsi" w:cstheme="majorHAnsi"/>
          <w:sz w:val="22"/>
          <w:szCs w:val="22"/>
        </w:rPr>
        <w:t>,</w:t>
      </w:r>
      <w:r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="00051024" w:rsidRPr="00051024">
        <w:rPr>
          <w:rFonts w:ascii="Calibri" w:hAnsi="Calibri"/>
          <w:sz w:val="22"/>
          <w:szCs w:val="22"/>
        </w:rPr>
        <w:t xml:space="preserve">które w swoim zakresie akredytacji ma wskazane metody badań dla produktów </w:t>
      </w:r>
      <w:r w:rsidR="00672230">
        <w:rPr>
          <w:rFonts w:ascii="Calibri" w:hAnsi="Calibri"/>
          <w:sz w:val="22"/>
          <w:szCs w:val="22"/>
        </w:rPr>
        <w:t>opisanych</w:t>
      </w:r>
      <w:r w:rsidR="00051024" w:rsidRPr="00051024">
        <w:rPr>
          <w:rFonts w:ascii="Calibri" w:hAnsi="Calibri"/>
          <w:sz w:val="22"/>
          <w:szCs w:val="22"/>
        </w:rPr>
        <w:t xml:space="preserve"> w Rozporządzeni</w:t>
      </w:r>
      <w:r w:rsidR="00051024">
        <w:rPr>
          <w:rFonts w:ascii="Calibri" w:hAnsi="Calibri"/>
          <w:sz w:val="22"/>
          <w:szCs w:val="22"/>
        </w:rPr>
        <w:t>u</w:t>
      </w:r>
      <w:r w:rsidR="00051024" w:rsidRPr="00051024">
        <w:rPr>
          <w:rFonts w:ascii="Calibri" w:hAnsi="Calibri"/>
          <w:sz w:val="22"/>
          <w:szCs w:val="22"/>
        </w:rPr>
        <w:t xml:space="preserve"> (UE) 2019/1009</w:t>
      </w:r>
      <w:r w:rsidR="00051024" w:rsidRPr="00051024" w:rsidDel="00051024">
        <w:rPr>
          <w:rFonts w:asciiTheme="majorHAnsi" w:hAnsiTheme="majorHAnsi" w:cstheme="majorHAnsi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lub z innego laboratorium/instytutu</w:t>
      </w:r>
      <w:r w:rsidR="00326B85">
        <w:rPr>
          <w:rFonts w:asciiTheme="majorHAnsi" w:hAnsiTheme="majorHAnsi" w:cstheme="majorHAnsi"/>
          <w:color w:val="000000" w:themeColor="text1"/>
          <w:sz w:val="22"/>
          <w:szCs w:val="22"/>
        </w:rPr>
        <w:t>, spełnia</w:t>
      </w:r>
      <w:r w:rsidR="002A409C">
        <w:rPr>
          <w:rFonts w:asciiTheme="majorHAnsi" w:hAnsiTheme="majorHAnsi" w:cstheme="majorHAnsi"/>
          <w:color w:val="000000" w:themeColor="text1"/>
          <w:sz w:val="22"/>
          <w:szCs w:val="22"/>
        </w:rPr>
        <w:t>jącego</w:t>
      </w:r>
      <w:r w:rsidR="00326B8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A40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 najmniej </w:t>
      </w:r>
      <w:r w:rsidR="00326B85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3C26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ymagania normy </w:t>
      </w:r>
      <w:r w:rsidR="003C2623" w:rsidRPr="003C2623">
        <w:rPr>
          <w:rFonts w:asciiTheme="majorHAnsi" w:hAnsiTheme="majorHAnsi" w:cstheme="majorHAnsi"/>
          <w:color w:val="000000" w:themeColor="text1"/>
          <w:sz w:val="22"/>
          <w:szCs w:val="22"/>
        </w:rPr>
        <w:t>PN-EN ISO/IEC 17025</w:t>
      </w:r>
      <w:r w:rsidR="002120B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B4529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52D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</w:t>
      </w:r>
      <w:r w:rsidR="002A40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oświadcza, że </w:t>
      </w:r>
      <w:r w:rsidR="00552D4F">
        <w:rPr>
          <w:rFonts w:asciiTheme="majorHAnsi" w:hAnsiTheme="majorHAnsi" w:cstheme="majorHAnsi"/>
          <w:color w:val="000000" w:themeColor="text1"/>
          <w:sz w:val="22"/>
          <w:szCs w:val="22"/>
        </w:rPr>
        <w:t>zleca wykonanie badań do laboratorium akredytowanego lub znajdującego się na liście laboratoriów zatwierdzonych przez PCBC</w:t>
      </w:r>
      <w:r w:rsidR="00732292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552D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8041E54" w14:textId="6DD4517C" w:rsidR="00426743" w:rsidRPr="00CE2931" w:rsidRDefault="00655579" w:rsidP="00111E45">
      <w:pPr>
        <w:widowControl w:val="0"/>
        <w:numPr>
          <w:ilvl w:val="1"/>
          <w:numId w:val="23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Strony przyjmują do wiadomości, że PCBC przeprowadza ocenę zgodności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CA2B8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="0073229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jako niezal</w:t>
      </w:r>
      <w:r w:rsidR="0008506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eżny od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08506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 wykonawca.</w:t>
      </w:r>
      <w:r w:rsidR="0074614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10C766E" w14:textId="5A52FFC0" w:rsidR="00426743" w:rsidRDefault="00655579" w:rsidP="00111E45">
      <w:pPr>
        <w:widowControl w:val="0"/>
        <w:numPr>
          <w:ilvl w:val="1"/>
          <w:numId w:val="23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przypadku zakończenia oceny zgodności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</w:t>
      </w:r>
      <w:r w:rsidR="008A5C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nawozowego UE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wynikiem pozytywnym, PCBC wystawia </w:t>
      </w:r>
      <w:r w:rsidR="00732292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73229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ertyfikat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W przypadku negatywnego wyniku oceny, PCBC </w:t>
      </w:r>
      <w:r w:rsidR="002A40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wydaje decyzję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odmowie wystawienia </w:t>
      </w:r>
      <w:r w:rsidR="00732292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73229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podaniem uzasadnienia. </w:t>
      </w:r>
    </w:p>
    <w:p w14:paraId="2DF2065E" w14:textId="77777777" w:rsidR="002120B6" w:rsidRPr="002120B6" w:rsidRDefault="00732292" w:rsidP="00111E45">
      <w:pPr>
        <w:widowControl w:val="0"/>
        <w:numPr>
          <w:ilvl w:val="1"/>
          <w:numId w:val="23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02A39">
        <w:rPr>
          <w:rFonts w:asciiTheme="majorHAnsi" w:hAnsiTheme="majorHAnsi" w:cstheme="minorHAnsi"/>
          <w:color w:val="000000"/>
          <w:sz w:val="22"/>
          <w:szCs w:val="22"/>
        </w:rPr>
        <w:t xml:space="preserve">Wydanie decyzji o wystawieniu Certyfikatu lub decyzji o odmowie wstawienia Certyfikatu następuje niezwłocznie po zakończeniu </w:t>
      </w:r>
      <w:r w:rsidR="00302A39">
        <w:rPr>
          <w:rFonts w:asciiTheme="majorHAnsi" w:hAnsiTheme="majorHAnsi" w:cstheme="minorHAnsi"/>
          <w:color w:val="000000"/>
          <w:sz w:val="22"/>
          <w:szCs w:val="22"/>
        </w:rPr>
        <w:t>o</w:t>
      </w:r>
      <w:r w:rsidRPr="00302A39">
        <w:rPr>
          <w:rFonts w:asciiTheme="majorHAnsi" w:hAnsiTheme="majorHAnsi" w:cstheme="minorHAnsi"/>
          <w:color w:val="000000"/>
          <w:sz w:val="22"/>
          <w:szCs w:val="22"/>
        </w:rPr>
        <w:t xml:space="preserve">ceny zgodności, ale nie później niż w terminie 14 dni od upływu terminu zakończenia </w:t>
      </w:r>
      <w:r w:rsidR="00302A39">
        <w:rPr>
          <w:rFonts w:asciiTheme="majorHAnsi" w:hAnsiTheme="majorHAnsi" w:cstheme="minorHAnsi"/>
          <w:color w:val="000000"/>
          <w:sz w:val="22"/>
          <w:szCs w:val="22"/>
        </w:rPr>
        <w:t>o</w:t>
      </w:r>
      <w:r w:rsidRPr="00302A39">
        <w:rPr>
          <w:rFonts w:asciiTheme="majorHAnsi" w:hAnsiTheme="majorHAnsi" w:cstheme="minorHAnsi"/>
          <w:color w:val="000000"/>
          <w:sz w:val="22"/>
          <w:szCs w:val="22"/>
        </w:rPr>
        <w:t xml:space="preserve">ceny zgodności wskazanego przez PCBC w decyzji o przeprowadzeniu </w:t>
      </w:r>
      <w:r w:rsidR="00302A39">
        <w:rPr>
          <w:rFonts w:asciiTheme="majorHAnsi" w:hAnsiTheme="majorHAnsi" w:cstheme="minorHAnsi"/>
          <w:color w:val="000000"/>
          <w:sz w:val="22"/>
          <w:szCs w:val="22"/>
        </w:rPr>
        <w:t>o</w:t>
      </w:r>
      <w:r w:rsidRPr="00302A39">
        <w:rPr>
          <w:rFonts w:asciiTheme="majorHAnsi" w:hAnsiTheme="majorHAnsi" w:cstheme="minorHAnsi"/>
          <w:color w:val="000000"/>
          <w:sz w:val="22"/>
          <w:szCs w:val="22"/>
        </w:rPr>
        <w:t xml:space="preserve">ceny zgodności, o której mowa w ust. 7. </w:t>
      </w:r>
    </w:p>
    <w:p w14:paraId="4022EBD7" w14:textId="55706254" w:rsidR="002120B6" w:rsidRDefault="00732292" w:rsidP="002120B6">
      <w:pPr>
        <w:widowControl w:val="0"/>
        <w:spacing w:beforeLines="20" w:before="48" w:afterLines="20" w:after="48"/>
        <w:ind w:left="709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2A39">
        <w:rPr>
          <w:rFonts w:asciiTheme="majorHAnsi" w:hAnsiTheme="majorHAnsi" w:cstheme="minorHAnsi"/>
          <w:color w:val="000000"/>
          <w:sz w:val="22"/>
          <w:szCs w:val="22"/>
        </w:rPr>
        <w:t xml:space="preserve">Decyzja o wystawieniu Certyfikatu lub decyzja o odmowie wystawienia Certyfikatu zostaną niezwłocznie po ich wydaniu przekazane Producentowi </w:t>
      </w:r>
      <w:r w:rsidR="009500B0" w:rsidRPr="000B01DB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na adres </w:t>
      </w:r>
      <w:r w:rsidR="009500B0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e-mail </w:t>
      </w:r>
      <w:r w:rsidR="009500B0"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wskazany przez Producenta w </w:t>
      </w:r>
      <w:r w:rsidR="009500B0" w:rsidRPr="00FC112D">
        <w:rPr>
          <w:rFonts w:asciiTheme="majorHAnsi" w:hAnsiTheme="majorHAnsi" w:cstheme="minorHAnsi"/>
          <w:color w:val="000000"/>
          <w:sz w:val="22"/>
          <w:szCs w:val="22"/>
        </w:rPr>
        <w:t>§ </w:t>
      </w:r>
      <w:r w:rsidR="009500B0">
        <w:rPr>
          <w:rFonts w:asciiTheme="majorHAnsi" w:hAnsiTheme="majorHAnsi" w:cstheme="minorHAnsi"/>
          <w:color w:val="000000"/>
          <w:sz w:val="22"/>
          <w:szCs w:val="22"/>
        </w:rPr>
        <w:t>9</w:t>
      </w:r>
      <w:r w:rsidR="009500B0"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 niniejszej umowy</w:t>
      </w:r>
      <w:r w:rsidR="002120B6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Pr="00302A39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</w:p>
    <w:p w14:paraId="7DE682A5" w14:textId="5379046F" w:rsidR="00732292" w:rsidRPr="00302A39" w:rsidRDefault="002120B6" w:rsidP="002120B6">
      <w:pPr>
        <w:widowControl w:val="0"/>
        <w:spacing w:beforeLines="20" w:before="48" w:afterLines="20" w:after="48"/>
        <w:ind w:left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P</w:t>
      </w:r>
      <w:r w:rsidR="00732292" w:rsidRPr="00302A39">
        <w:rPr>
          <w:rFonts w:asciiTheme="majorHAnsi" w:hAnsiTheme="majorHAnsi" w:cstheme="minorHAnsi"/>
          <w:color w:val="000000"/>
          <w:sz w:val="22"/>
          <w:szCs w:val="22"/>
        </w:rPr>
        <w:t xml:space="preserve">rzekazanie Certyfikatu następuje nie wcześniej niż po uprzednim opłaceniu przez Producenta wszystkich należności związanych </w:t>
      </w:r>
      <w:r w:rsidR="00302A39">
        <w:rPr>
          <w:rFonts w:asciiTheme="majorHAnsi" w:hAnsiTheme="majorHAnsi" w:cstheme="minorHAnsi"/>
          <w:color w:val="000000"/>
          <w:sz w:val="22"/>
          <w:szCs w:val="22"/>
        </w:rPr>
        <w:t xml:space="preserve">– odpowiednio - </w:t>
      </w:r>
      <w:r w:rsidR="00732292" w:rsidRPr="00302A39">
        <w:rPr>
          <w:rFonts w:asciiTheme="majorHAnsi" w:hAnsiTheme="majorHAnsi" w:cstheme="minorHAnsi"/>
          <w:color w:val="000000"/>
          <w:sz w:val="22"/>
          <w:szCs w:val="22"/>
        </w:rPr>
        <w:t xml:space="preserve">z danym etapem Oceny zgodności danego Produktu nawozowego UE 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w module A1 i B </w:t>
      </w:r>
      <w:r w:rsidR="00732292" w:rsidRPr="00302A39">
        <w:rPr>
          <w:rFonts w:asciiTheme="majorHAnsi" w:hAnsiTheme="majorHAnsi" w:cstheme="minorHAnsi"/>
          <w:color w:val="000000"/>
          <w:sz w:val="22"/>
          <w:szCs w:val="22"/>
        </w:rPr>
        <w:t xml:space="preserve">lub wszystkich należności związanych z Oceną zgodności w </w:t>
      </w:r>
      <w:r w:rsidR="00302A39">
        <w:rPr>
          <w:rFonts w:asciiTheme="majorHAnsi" w:hAnsiTheme="majorHAnsi" w:cstheme="minorHAnsi"/>
          <w:color w:val="000000"/>
          <w:sz w:val="22"/>
          <w:szCs w:val="22"/>
        </w:rPr>
        <w:t xml:space="preserve">danym </w:t>
      </w:r>
      <w:r w:rsidR="00732292" w:rsidRPr="00302A39">
        <w:rPr>
          <w:rFonts w:asciiTheme="majorHAnsi" w:hAnsiTheme="majorHAnsi" w:cstheme="minorHAnsi"/>
          <w:color w:val="000000"/>
          <w:sz w:val="22"/>
          <w:szCs w:val="22"/>
        </w:rPr>
        <w:t>module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 D1</w:t>
      </w:r>
      <w:r w:rsidR="00732292" w:rsidRPr="00302A39">
        <w:rPr>
          <w:rFonts w:asciiTheme="majorHAnsi" w:hAnsiTheme="majorHAnsi" w:cstheme="minorHAnsi"/>
          <w:color w:val="000000"/>
          <w:sz w:val="22"/>
          <w:szCs w:val="22"/>
        </w:rPr>
        <w:t xml:space="preserve">. </w:t>
      </w:r>
    </w:p>
    <w:p w14:paraId="0E7150E8" w14:textId="5E111064" w:rsidR="00487820" w:rsidRPr="00CE2931" w:rsidRDefault="00655579" w:rsidP="00302A39">
      <w:pPr>
        <w:widowControl w:val="0"/>
        <w:numPr>
          <w:ilvl w:val="1"/>
          <w:numId w:val="23"/>
        </w:numPr>
        <w:tabs>
          <w:tab w:val="left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Certyfikat wydaje się na okres </w:t>
      </w:r>
      <w:r w:rsidR="0048782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określony dla każdego modułu oceny zgodności, odpowiednio dla:</w:t>
      </w:r>
    </w:p>
    <w:p w14:paraId="4D5E435D" w14:textId="585FD315" w:rsidR="00C47B7D" w:rsidRPr="00C47B7D" w:rsidRDefault="00C47B7D" w:rsidP="00302A39">
      <w:pPr>
        <w:pStyle w:val="Akapitzlist"/>
        <w:numPr>
          <w:ilvl w:val="1"/>
          <w:numId w:val="22"/>
        </w:numPr>
        <w:ind w:hanging="41"/>
        <w:rPr>
          <w:rFonts w:asciiTheme="majorHAnsi" w:hAnsiTheme="majorHAnsi" w:cstheme="majorHAnsi"/>
          <w:sz w:val="22"/>
          <w:szCs w:val="22"/>
        </w:rPr>
      </w:pPr>
      <w:r w:rsidRPr="00C47B7D">
        <w:rPr>
          <w:rFonts w:asciiTheme="majorHAnsi" w:hAnsiTheme="majorHAnsi" w:cstheme="majorHAnsi"/>
          <w:sz w:val="22"/>
          <w:szCs w:val="22"/>
        </w:rPr>
        <w:t xml:space="preserve">Modułu A1 – na okres </w:t>
      </w:r>
      <w:r>
        <w:rPr>
          <w:rFonts w:asciiTheme="majorHAnsi" w:hAnsiTheme="majorHAnsi" w:cstheme="majorHAnsi"/>
          <w:sz w:val="22"/>
          <w:szCs w:val="22"/>
        </w:rPr>
        <w:t>3 miesięcy</w:t>
      </w:r>
      <w:r w:rsidRPr="00C47B7D">
        <w:rPr>
          <w:rFonts w:asciiTheme="majorHAnsi" w:hAnsiTheme="majorHAnsi" w:cstheme="majorHAnsi"/>
          <w:sz w:val="22"/>
          <w:szCs w:val="22"/>
        </w:rPr>
        <w:t>,</w:t>
      </w:r>
      <w:r w:rsidR="00D27604">
        <w:rPr>
          <w:rFonts w:asciiTheme="majorHAnsi" w:hAnsiTheme="majorHAnsi" w:cstheme="majorHAnsi"/>
          <w:sz w:val="22"/>
          <w:szCs w:val="22"/>
        </w:rPr>
        <w:t xml:space="preserve"> licząc od dnia wykonania testu odporności na detonację;</w:t>
      </w:r>
      <w:r w:rsidRPr="00C47B7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4CB5DB" w14:textId="49C70089" w:rsidR="00487820" w:rsidRPr="00CE2931" w:rsidRDefault="00487820" w:rsidP="00302A39">
      <w:pPr>
        <w:widowControl w:val="0"/>
        <w:numPr>
          <w:ilvl w:val="1"/>
          <w:numId w:val="22"/>
        </w:numPr>
        <w:tabs>
          <w:tab w:val="clear" w:pos="750"/>
          <w:tab w:val="left" w:pos="426"/>
        </w:tabs>
        <w:spacing w:beforeLines="20" w:before="48" w:afterLines="20" w:after="48"/>
        <w:ind w:left="1418" w:hanging="709"/>
        <w:jc w:val="both"/>
        <w:rPr>
          <w:rFonts w:asciiTheme="majorHAnsi" w:hAnsiTheme="majorHAnsi" w:cstheme="majorHAnsi"/>
          <w:sz w:val="22"/>
          <w:szCs w:val="22"/>
        </w:rPr>
      </w:pPr>
      <w:r w:rsidRPr="00CE2931">
        <w:rPr>
          <w:rFonts w:asciiTheme="majorHAnsi" w:hAnsiTheme="majorHAnsi" w:cstheme="majorHAnsi"/>
          <w:sz w:val="22"/>
          <w:szCs w:val="22"/>
        </w:rPr>
        <w:t>Modułu B – na okres 3 lat, chyba że dokumentacja techniczna produktu nawozowego UE uległa zmianie;</w:t>
      </w:r>
    </w:p>
    <w:p w14:paraId="56E39287" w14:textId="1AA6A6CE" w:rsidR="00426743" w:rsidRPr="00302A39" w:rsidRDefault="00487820" w:rsidP="00302A39">
      <w:pPr>
        <w:widowControl w:val="0"/>
        <w:numPr>
          <w:ilvl w:val="1"/>
          <w:numId w:val="22"/>
        </w:numPr>
        <w:tabs>
          <w:tab w:val="clear" w:pos="750"/>
          <w:tab w:val="left" w:pos="426"/>
          <w:tab w:val="num" w:pos="1418"/>
        </w:tabs>
        <w:spacing w:beforeLines="20" w:before="48" w:afterLines="20" w:after="48"/>
        <w:ind w:left="1418" w:hanging="709"/>
        <w:jc w:val="both"/>
        <w:rPr>
          <w:rFonts w:asciiTheme="majorHAnsi" w:hAnsiTheme="majorHAnsi" w:cstheme="majorHAnsi"/>
          <w:sz w:val="22"/>
          <w:szCs w:val="22"/>
        </w:rPr>
      </w:pPr>
      <w:r w:rsidRPr="00302A39">
        <w:rPr>
          <w:rFonts w:asciiTheme="majorHAnsi" w:hAnsiTheme="majorHAnsi" w:cstheme="majorHAnsi"/>
          <w:sz w:val="22"/>
          <w:szCs w:val="22"/>
        </w:rPr>
        <w:t>Modułu D1</w:t>
      </w:r>
      <w:r w:rsidR="0027623D" w:rsidRPr="00CE2931">
        <w:rPr>
          <w:rFonts w:asciiTheme="majorHAnsi" w:hAnsiTheme="majorHAnsi" w:cstheme="majorHAnsi"/>
          <w:sz w:val="22"/>
          <w:szCs w:val="22"/>
        </w:rPr>
        <w:t xml:space="preserve"> – </w:t>
      </w:r>
      <w:r w:rsidRPr="00302A39">
        <w:rPr>
          <w:rFonts w:asciiTheme="majorHAnsi" w:hAnsiTheme="majorHAnsi" w:cstheme="majorHAnsi"/>
          <w:sz w:val="22"/>
          <w:szCs w:val="22"/>
        </w:rPr>
        <w:t xml:space="preserve">na </w:t>
      </w:r>
      <w:r w:rsidRPr="0085343B">
        <w:rPr>
          <w:rFonts w:asciiTheme="majorHAnsi" w:hAnsiTheme="majorHAnsi" w:cstheme="majorHAnsi"/>
          <w:sz w:val="22"/>
          <w:szCs w:val="22"/>
        </w:rPr>
        <w:t xml:space="preserve">okres do </w:t>
      </w:r>
      <w:r w:rsidR="007B66FB" w:rsidRPr="00A10C0F">
        <w:rPr>
          <w:rFonts w:asciiTheme="majorHAnsi" w:hAnsiTheme="majorHAnsi" w:cstheme="majorHAnsi"/>
          <w:sz w:val="22"/>
          <w:szCs w:val="22"/>
        </w:rPr>
        <w:t>3</w:t>
      </w:r>
      <w:r w:rsidR="0085343B">
        <w:rPr>
          <w:rFonts w:asciiTheme="majorHAnsi" w:hAnsiTheme="majorHAnsi" w:cstheme="majorHAnsi"/>
          <w:sz w:val="22"/>
          <w:szCs w:val="22"/>
        </w:rPr>
        <w:t xml:space="preserve"> </w:t>
      </w:r>
      <w:r w:rsidRPr="0085343B">
        <w:rPr>
          <w:rFonts w:asciiTheme="majorHAnsi" w:hAnsiTheme="majorHAnsi" w:cstheme="majorHAnsi"/>
          <w:sz w:val="22"/>
          <w:szCs w:val="22"/>
        </w:rPr>
        <w:t>lat</w:t>
      </w:r>
      <w:r w:rsidR="007C0668" w:rsidRPr="0085343B">
        <w:rPr>
          <w:rFonts w:asciiTheme="majorHAnsi" w:hAnsiTheme="majorHAnsi" w:cstheme="majorHAnsi"/>
          <w:sz w:val="22"/>
          <w:szCs w:val="22"/>
        </w:rPr>
        <w:t>, pod warunkiem</w:t>
      </w:r>
      <w:r w:rsidR="007C0668" w:rsidRPr="00302A39">
        <w:rPr>
          <w:rFonts w:asciiTheme="majorHAnsi" w:hAnsiTheme="majorHAnsi" w:cstheme="majorHAnsi"/>
          <w:sz w:val="22"/>
          <w:szCs w:val="22"/>
        </w:rPr>
        <w:t xml:space="preserve"> wykonywania co roku </w:t>
      </w:r>
      <w:proofErr w:type="spellStart"/>
      <w:r w:rsidR="007C0668" w:rsidRPr="00302A39">
        <w:rPr>
          <w:rFonts w:asciiTheme="majorHAnsi" w:hAnsiTheme="majorHAnsi" w:cstheme="majorHAnsi"/>
          <w:sz w:val="22"/>
          <w:szCs w:val="22"/>
        </w:rPr>
        <w:t>auditu</w:t>
      </w:r>
      <w:proofErr w:type="spellEnd"/>
      <w:r w:rsidR="007C0668" w:rsidRPr="00302A39">
        <w:rPr>
          <w:rFonts w:asciiTheme="majorHAnsi" w:hAnsiTheme="majorHAnsi" w:cstheme="majorHAnsi"/>
          <w:sz w:val="22"/>
          <w:szCs w:val="22"/>
        </w:rPr>
        <w:t xml:space="preserve"> nadzoru </w:t>
      </w:r>
      <w:r w:rsidR="001D424B">
        <w:rPr>
          <w:rFonts w:asciiTheme="majorHAnsi" w:hAnsiTheme="majorHAnsi" w:cstheme="majorHAnsi"/>
          <w:sz w:val="22"/>
          <w:szCs w:val="22"/>
        </w:rPr>
        <w:br/>
      </w:r>
      <w:r w:rsidR="007C0668" w:rsidRPr="00302A39">
        <w:rPr>
          <w:rFonts w:asciiTheme="majorHAnsi" w:hAnsiTheme="majorHAnsi" w:cstheme="majorHAnsi"/>
          <w:sz w:val="22"/>
          <w:szCs w:val="22"/>
        </w:rPr>
        <w:t xml:space="preserve">i spełnianiu przez </w:t>
      </w:r>
      <w:r w:rsidR="00A75C5A" w:rsidRPr="00302A39">
        <w:rPr>
          <w:rFonts w:asciiTheme="majorHAnsi" w:hAnsiTheme="majorHAnsi" w:cstheme="majorHAnsi"/>
          <w:sz w:val="22"/>
          <w:szCs w:val="22"/>
        </w:rPr>
        <w:t>P</w:t>
      </w:r>
      <w:r w:rsidR="007C0668" w:rsidRPr="00302A39">
        <w:rPr>
          <w:rFonts w:asciiTheme="majorHAnsi" w:hAnsiTheme="majorHAnsi" w:cstheme="majorHAnsi"/>
          <w:sz w:val="22"/>
          <w:szCs w:val="22"/>
        </w:rPr>
        <w:t xml:space="preserve">roducenta wymagań </w:t>
      </w:r>
      <w:r w:rsidR="001C34CD" w:rsidRPr="00302A39">
        <w:rPr>
          <w:rFonts w:asciiTheme="majorHAnsi" w:hAnsiTheme="majorHAnsi" w:cstheme="majorHAnsi"/>
          <w:sz w:val="22"/>
          <w:szCs w:val="22"/>
        </w:rPr>
        <w:t xml:space="preserve">dotyczących systemu jakości </w:t>
      </w:r>
      <w:r w:rsidR="007C0668" w:rsidRPr="00302A39">
        <w:rPr>
          <w:rFonts w:asciiTheme="majorHAnsi" w:hAnsiTheme="majorHAnsi" w:cstheme="majorHAnsi"/>
          <w:sz w:val="22"/>
          <w:szCs w:val="22"/>
        </w:rPr>
        <w:t xml:space="preserve">określonych w </w:t>
      </w:r>
      <w:r w:rsidR="00B75612" w:rsidRPr="00302A39">
        <w:rPr>
          <w:rFonts w:asciiTheme="majorHAnsi" w:hAnsiTheme="majorHAnsi" w:cstheme="majorHAnsi"/>
          <w:sz w:val="22"/>
          <w:szCs w:val="22"/>
        </w:rPr>
        <w:t>załączniku IV do Rozp</w:t>
      </w:r>
      <w:r w:rsidR="007B66FB" w:rsidRPr="00302A39">
        <w:rPr>
          <w:rFonts w:asciiTheme="majorHAnsi" w:hAnsiTheme="majorHAnsi" w:cstheme="majorHAnsi"/>
          <w:sz w:val="22"/>
          <w:szCs w:val="22"/>
        </w:rPr>
        <w:t>orządzenia (UE)</w:t>
      </w:r>
      <w:r w:rsidR="00B75612" w:rsidRPr="00302A39">
        <w:rPr>
          <w:rFonts w:asciiTheme="majorHAnsi" w:hAnsiTheme="majorHAnsi" w:cstheme="majorHAnsi"/>
          <w:sz w:val="22"/>
          <w:szCs w:val="22"/>
        </w:rPr>
        <w:t xml:space="preserve"> 2019/1009 dla </w:t>
      </w:r>
      <w:r w:rsidR="007C0668" w:rsidRPr="00302A39">
        <w:rPr>
          <w:rFonts w:asciiTheme="majorHAnsi" w:hAnsiTheme="majorHAnsi" w:cstheme="majorHAnsi"/>
          <w:sz w:val="22"/>
          <w:szCs w:val="22"/>
        </w:rPr>
        <w:t>modu</w:t>
      </w:r>
      <w:r w:rsidR="00B75612" w:rsidRPr="00302A39">
        <w:rPr>
          <w:rFonts w:asciiTheme="majorHAnsi" w:hAnsiTheme="majorHAnsi" w:cstheme="majorHAnsi"/>
          <w:sz w:val="22"/>
          <w:szCs w:val="22"/>
        </w:rPr>
        <w:t>łu</w:t>
      </w:r>
      <w:r w:rsidR="007C0668" w:rsidRPr="00302A39">
        <w:rPr>
          <w:rFonts w:asciiTheme="majorHAnsi" w:hAnsiTheme="majorHAnsi" w:cstheme="majorHAnsi"/>
          <w:sz w:val="22"/>
          <w:szCs w:val="22"/>
        </w:rPr>
        <w:t xml:space="preserve"> D1.</w:t>
      </w:r>
      <w:r w:rsidRPr="00302A39">
        <w:rPr>
          <w:rFonts w:asciiTheme="majorHAnsi" w:hAnsiTheme="majorHAnsi" w:cstheme="majorHAnsi"/>
          <w:sz w:val="22"/>
          <w:szCs w:val="22"/>
        </w:rPr>
        <w:t xml:space="preserve"> Po upływie tego okresu </w:t>
      </w:r>
      <w:r w:rsidR="0085343B">
        <w:rPr>
          <w:rFonts w:asciiTheme="majorHAnsi" w:hAnsiTheme="majorHAnsi" w:cstheme="majorHAnsi"/>
          <w:sz w:val="22"/>
          <w:szCs w:val="22"/>
        </w:rPr>
        <w:t>C</w:t>
      </w:r>
      <w:r w:rsidRPr="00302A39">
        <w:rPr>
          <w:rFonts w:asciiTheme="majorHAnsi" w:hAnsiTheme="majorHAnsi" w:cstheme="majorHAnsi"/>
          <w:sz w:val="22"/>
          <w:szCs w:val="22"/>
        </w:rPr>
        <w:t>ertyfikat może zostać przedłużony na kolejne</w:t>
      </w:r>
      <w:r w:rsidR="00F770AD">
        <w:rPr>
          <w:rFonts w:asciiTheme="majorHAnsi" w:hAnsiTheme="majorHAnsi" w:cstheme="majorHAnsi"/>
          <w:sz w:val="22"/>
          <w:szCs w:val="22"/>
        </w:rPr>
        <w:t xml:space="preserve"> </w:t>
      </w:r>
      <w:r w:rsidR="007B66FB" w:rsidRPr="00302A39">
        <w:rPr>
          <w:rFonts w:asciiTheme="majorHAnsi" w:hAnsiTheme="majorHAnsi" w:cstheme="majorHAnsi"/>
          <w:sz w:val="22"/>
          <w:szCs w:val="22"/>
        </w:rPr>
        <w:t>3</w:t>
      </w:r>
      <w:r w:rsidRPr="00302A39">
        <w:rPr>
          <w:rFonts w:asciiTheme="majorHAnsi" w:hAnsiTheme="majorHAnsi" w:cstheme="majorHAnsi"/>
          <w:sz w:val="22"/>
          <w:szCs w:val="22"/>
        </w:rPr>
        <w:t xml:space="preserve"> lat</w:t>
      </w:r>
      <w:r w:rsidR="007B66FB" w:rsidRPr="00302A39">
        <w:rPr>
          <w:rFonts w:asciiTheme="majorHAnsi" w:hAnsiTheme="majorHAnsi" w:cstheme="majorHAnsi"/>
          <w:sz w:val="22"/>
          <w:szCs w:val="22"/>
        </w:rPr>
        <w:t>a, po przeprowadzeniu oceny</w:t>
      </w:r>
      <w:r w:rsidRPr="00302A39">
        <w:rPr>
          <w:rFonts w:asciiTheme="majorHAnsi" w:hAnsiTheme="majorHAnsi" w:cstheme="majorHAnsi"/>
          <w:sz w:val="22"/>
          <w:szCs w:val="22"/>
        </w:rPr>
        <w:t>.</w:t>
      </w:r>
      <w:r w:rsidR="007C0668" w:rsidRPr="00302A39">
        <w:rPr>
          <w:rFonts w:asciiTheme="majorHAnsi" w:hAnsiTheme="majorHAnsi" w:cstheme="majorHAnsi"/>
          <w:sz w:val="22"/>
          <w:szCs w:val="22"/>
        </w:rPr>
        <w:t xml:space="preserve"> Certyfikat</w:t>
      </w:r>
      <w:r w:rsidRPr="00302A39">
        <w:rPr>
          <w:rFonts w:asciiTheme="majorHAnsi" w:hAnsiTheme="majorHAnsi" w:cstheme="majorHAnsi"/>
          <w:sz w:val="22"/>
          <w:szCs w:val="22"/>
        </w:rPr>
        <w:t xml:space="preserve"> </w:t>
      </w:r>
      <w:r w:rsidR="00655579" w:rsidRPr="00302A39">
        <w:rPr>
          <w:rFonts w:asciiTheme="majorHAnsi" w:hAnsiTheme="majorHAnsi" w:cstheme="majorHAnsi"/>
          <w:sz w:val="22"/>
          <w:szCs w:val="22"/>
        </w:rPr>
        <w:t xml:space="preserve">nie może być odstępowany </w:t>
      </w:r>
      <w:r w:rsidR="00302A39">
        <w:rPr>
          <w:rFonts w:asciiTheme="majorHAnsi" w:hAnsiTheme="majorHAnsi" w:cstheme="majorHAnsi"/>
          <w:sz w:val="22"/>
          <w:szCs w:val="22"/>
        </w:rPr>
        <w:t xml:space="preserve">(cedowany) </w:t>
      </w:r>
      <w:r w:rsidR="00655579" w:rsidRPr="00302A39">
        <w:rPr>
          <w:rFonts w:asciiTheme="majorHAnsi" w:hAnsiTheme="majorHAnsi" w:cstheme="majorHAnsi"/>
          <w:sz w:val="22"/>
          <w:szCs w:val="22"/>
        </w:rPr>
        <w:t>na rze</w:t>
      </w:r>
      <w:r w:rsidR="0059530C" w:rsidRPr="00302A39">
        <w:rPr>
          <w:rFonts w:asciiTheme="majorHAnsi" w:hAnsiTheme="majorHAnsi" w:cstheme="majorHAnsi"/>
          <w:sz w:val="22"/>
          <w:szCs w:val="22"/>
        </w:rPr>
        <w:t>cz osób lub podmiotów trzecich.</w:t>
      </w:r>
    </w:p>
    <w:p w14:paraId="368E908B" w14:textId="7CE9BAA6" w:rsidR="002120B6" w:rsidRDefault="00302A39" w:rsidP="00302A39">
      <w:pPr>
        <w:widowControl w:val="0"/>
        <w:numPr>
          <w:ilvl w:val="1"/>
          <w:numId w:val="23"/>
        </w:numPr>
        <w:tabs>
          <w:tab w:val="left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sz w:val="22"/>
          <w:szCs w:val="22"/>
        </w:rPr>
        <w:t xml:space="preserve">PCBC </w:t>
      </w:r>
      <w:r>
        <w:rPr>
          <w:rFonts w:asciiTheme="majorHAnsi" w:hAnsiTheme="majorHAnsi" w:cstheme="majorHAnsi"/>
          <w:sz w:val="22"/>
          <w:szCs w:val="22"/>
        </w:rPr>
        <w:t>oświadcza, że</w:t>
      </w:r>
      <w:r w:rsidRPr="00CE2931">
        <w:rPr>
          <w:rFonts w:asciiTheme="majorHAnsi" w:hAnsiTheme="majorHAnsi" w:cstheme="majorHAnsi"/>
          <w:sz w:val="22"/>
          <w:szCs w:val="22"/>
        </w:rPr>
        <w:t xml:space="preserve"> kadra zarządzająca </w:t>
      </w:r>
      <w:r>
        <w:rPr>
          <w:rFonts w:asciiTheme="majorHAnsi" w:hAnsiTheme="majorHAnsi" w:cstheme="majorHAnsi"/>
          <w:sz w:val="22"/>
          <w:szCs w:val="22"/>
        </w:rPr>
        <w:t>PCBC lub</w:t>
      </w:r>
      <w:r w:rsidR="008E510F">
        <w:rPr>
          <w:rFonts w:asciiTheme="majorHAnsi" w:hAnsiTheme="majorHAnsi" w:cstheme="majorHAnsi"/>
          <w:sz w:val="22"/>
          <w:szCs w:val="22"/>
        </w:rPr>
        <w:t>/i</w:t>
      </w:r>
      <w:r w:rsidRPr="00CE2931">
        <w:rPr>
          <w:rFonts w:asciiTheme="majorHAnsi" w:hAnsiTheme="majorHAnsi" w:cstheme="majorHAnsi"/>
          <w:sz w:val="22"/>
          <w:szCs w:val="22"/>
        </w:rPr>
        <w:t xml:space="preserve"> pracownicy nie oferują, ani nie udzielają konsultacji lub porad Producentowi w zakresie projektu, konstrukcji, funkcjonalności, marketingu lub serwisu produktu </w:t>
      </w:r>
      <w:r>
        <w:rPr>
          <w:rFonts w:asciiTheme="majorHAnsi" w:hAnsiTheme="majorHAnsi" w:cstheme="majorHAnsi"/>
          <w:sz w:val="22"/>
          <w:szCs w:val="22"/>
        </w:rPr>
        <w:t xml:space="preserve">nawozowego UE </w:t>
      </w:r>
      <w:r w:rsidRPr="00CE2931">
        <w:rPr>
          <w:rFonts w:asciiTheme="majorHAnsi" w:hAnsiTheme="majorHAnsi" w:cstheme="majorHAnsi"/>
          <w:sz w:val="22"/>
          <w:szCs w:val="22"/>
        </w:rPr>
        <w:t>podlegającego ocenie</w:t>
      </w:r>
      <w:r>
        <w:rPr>
          <w:rFonts w:asciiTheme="majorHAnsi" w:hAnsiTheme="majorHAnsi" w:cstheme="majorHAnsi"/>
          <w:sz w:val="22"/>
          <w:szCs w:val="22"/>
        </w:rPr>
        <w:t xml:space="preserve"> zgodności,</w:t>
      </w:r>
      <w:r w:rsidRPr="00CE2931">
        <w:rPr>
          <w:rFonts w:asciiTheme="majorHAnsi" w:hAnsiTheme="majorHAnsi" w:cstheme="majorHAnsi"/>
          <w:sz w:val="22"/>
          <w:szCs w:val="22"/>
        </w:rPr>
        <w:t xml:space="preserve"> jak również jakichkolwiek innych porad dotyczących dokumentów koniecznych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do przeprowadzenia oceny zgodności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objętej przedmiotem niniejszej umowy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63239558" w14:textId="2BC4B20B" w:rsidR="00302A39" w:rsidRDefault="00302A39" w:rsidP="002120B6">
      <w:pPr>
        <w:widowControl w:val="0"/>
        <w:spacing w:beforeLines="20" w:before="48" w:afterLines="20" w:after="48"/>
        <w:ind w:left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Dokumenty przygotowane przez PCBC i przedstawione Producentowi związane z </w:t>
      </w:r>
      <w:r w:rsidR="002120B6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ceną zgodności mogą być kopiowane i reprodukowane tylko w całości, bez prawa nanoszenia jakichkolwiek zmian, w dowolnym wymiarze, w taki sposób, aby został zachowany charakter tych dokumentów. Powyższe nie wyłącza obowiązku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</w:t>
      </w:r>
      <w:r w:rsidR="00F0683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udzielania odpowiedzi na pytania i wyjaśnień w zakresie </w:t>
      </w:r>
      <w:r w:rsidR="002120B6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ceny zgodności produktów nawozowych UE.</w:t>
      </w:r>
    </w:p>
    <w:p w14:paraId="7379259F" w14:textId="0659E230" w:rsidR="00426743" w:rsidRPr="00302A39" w:rsidRDefault="009078B3" w:rsidP="008C1FB2">
      <w:pPr>
        <w:widowControl w:val="0"/>
        <w:numPr>
          <w:ilvl w:val="1"/>
          <w:numId w:val="23"/>
        </w:numPr>
        <w:tabs>
          <w:tab w:val="left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PCBC</w:t>
      </w:r>
      <w:r w:rsidR="00302A39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jako jednostka notyfikowana </w:t>
      </w:r>
      <w:r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oświadcza, że</w:t>
      </w:r>
      <w:r w:rsidR="003174D1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27C9A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je</w:t>
      </w:r>
      <w:r w:rsidR="007F4451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go</w:t>
      </w:r>
      <w:r w:rsidR="008642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kadra zarządzająca,</w:t>
      </w:r>
      <w:r w:rsidR="00C1380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pracownicy</w:t>
      </w:r>
      <w:r w:rsidR="008642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zajmujący się weryfikacją i oceną </w:t>
      </w:r>
      <w:r w:rsidR="00B6737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87820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UE 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prowadzoną w oparciu o niniejszą umowę - </w:t>
      </w:r>
      <w:r w:rsidR="0064064C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odniesieniu do </w:t>
      </w:r>
      <w:r w:rsidR="00B6737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0675E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UE</w:t>
      </w:r>
      <w:r w:rsidR="0021195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</w:t>
      </w:r>
      <w:r w:rsidR="00394E4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nie są tożsami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 osobami projektantów, wytwór</w:t>
      </w:r>
      <w:r w:rsidR="008642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ców</w:t>
      </w:r>
      <w:r w:rsidR="0059418F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/producentów</w:t>
      </w:r>
      <w:r w:rsidR="008642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, dostawców</w:t>
      </w:r>
      <w:r w:rsidR="0059418F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/nabywców, właścicieli ani użytkowników</w:t>
      </w:r>
      <w:r w:rsidR="008642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6737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="00D462DA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B6737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94E4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który</w:t>
      </w:r>
      <w:r w:rsidR="004D34ED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podlega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ocenie, ani też</w:t>
      </w:r>
      <w:r w:rsidR="00ED513F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są tożsami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</w:t>
      </w:r>
      <w:r w:rsidR="005B5EBA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upoważnionymi przedstawiciel</w:t>
      </w:r>
      <w:r w:rsidR="00394E4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ami żadnej z tych osób. Nie byli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oni</w:t>
      </w:r>
      <w:r w:rsidR="00394E4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również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zaangażowani bezpośrednio w projektowanie, </w:t>
      </w:r>
      <w:r w:rsidR="0059418F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produkcję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59418F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wprowadzanie do obrotu</w:t>
      </w:r>
      <w:r w:rsidR="00426F00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ani używanie produktów nawozowych UE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, ani</w:t>
      </w:r>
      <w:r w:rsidR="00394E4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reprezentowali</w:t>
      </w:r>
      <w:r w:rsidR="00426F00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ani </w:t>
      </w:r>
      <w:r w:rsidR="001C34CD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nie reprezentują</w:t>
      </w:r>
      <w:r w:rsidR="00426F00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stron działających w tych dziedzinach.</w:t>
      </w:r>
      <w:r w:rsidR="00394E4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Powyższe nie wyklucza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</w:t>
      </w:r>
      <w:r w:rsidR="00426F00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użytkowania produktów nawozowych UE</w:t>
      </w:r>
      <w:r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26F00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które są niezbędne do prowadzenia działalności jednostki oceniającej zgodność ani używania Produktów nawozowych UE na własne potrzeby oraz 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możliwości wymiany informacji technicz</w:t>
      </w:r>
      <w:r w:rsidR="004D34ED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nych między </w:t>
      </w:r>
      <w:r w:rsidR="00B67374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4D34ED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>em</w:t>
      </w:r>
      <w:r w:rsidR="003174D1" w:rsidRPr="00302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PCBC.</w:t>
      </w:r>
    </w:p>
    <w:p w14:paraId="09A54A23" w14:textId="6576F0A9" w:rsidR="0059530C" w:rsidRPr="00CE2931" w:rsidRDefault="00394E44" w:rsidP="008C1FB2">
      <w:pPr>
        <w:widowControl w:val="0"/>
        <w:numPr>
          <w:ilvl w:val="1"/>
          <w:numId w:val="23"/>
        </w:numPr>
        <w:tabs>
          <w:tab w:val="left" w:pos="851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zastrzega, iż przeprowadzając w oparciu o niniejszą umowę weryfikację i ocenę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40675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UE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PCBC oraz jej </w:t>
      </w:r>
      <w:r w:rsidR="00C1380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pracownicy</w:t>
      </w:r>
      <w:r w:rsidR="001C34C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eksperci/auditorzy</w:t>
      </w:r>
      <w:r w:rsidR="00193F4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wykazują najwyższy stopień rzetelności zawodowej i kompetencji w dziedzinie </w:t>
      </w:r>
      <w:r w:rsidR="00B67374" w:rsidRPr="00CE2931">
        <w:rPr>
          <w:rFonts w:asciiTheme="majorHAnsi" w:hAnsiTheme="majorHAnsi" w:cstheme="majorHAnsi"/>
          <w:sz w:val="22"/>
          <w:szCs w:val="22"/>
        </w:rPr>
        <w:t>produktów nawozowych</w:t>
      </w:r>
      <w:r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="0040675E" w:rsidRPr="00CE2931">
        <w:rPr>
          <w:rFonts w:asciiTheme="majorHAnsi" w:hAnsiTheme="majorHAnsi" w:cstheme="majorHAnsi"/>
          <w:sz w:val="22"/>
          <w:szCs w:val="22"/>
        </w:rPr>
        <w:t xml:space="preserve">UE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oraz nie podlegają żadnym naciskom i namowom</w:t>
      </w:r>
      <w:r w:rsidR="00D64348">
        <w:rPr>
          <w:rFonts w:asciiTheme="majorHAnsi" w:hAnsiTheme="majorHAnsi" w:cstheme="majorHAnsi"/>
          <w:color w:val="000000" w:themeColor="text1"/>
          <w:sz w:val="22"/>
          <w:szCs w:val="22"/>
        </w:rPr>
        <w:t>/zachętom</w:t>
      </w:r>
      <w:r w:rsidR="000F582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szczególności natury finansowej, które mogłyby mieć wpływ na ich osąd lub wyniki kontroli, pochodzącym w szczególności od osób lub grup osób, zainteresowanych wynikami weryfikacji</w:t>
      </w:r>
      <w:r w:rsidR="00A67B46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519E07B" w14:textId="79019674" w:rsidR="0059530C" w:rsidRPr="00CE2931" w:rsidRDefault="00655E51" w:rsidP="008C1FB2">
      <w:pPr>
        <w:widowControl w:val="0"/>
        <w:numPr>
          <w:ilvl w:val="1"/>
          <w:numId w:val="23"/>
        </w:numPr>
        <w:tabs>
          <w:tab w:val="left" w:pos="851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zastrzega, iż w przypadku konieczności zlecenia </w:t>
      </w:r>
      <w:r w:rsidR="003A25C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ekspertowi</w:t>
      </w:r>
      <w:r w:rsidR="00CA2B8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/auditorowi</w:t>
      </w:r>
      <w:r w:rsidR="003A25C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zadań związanych </w:t>
      </w:r>
      <w:r w:rsidR="00F9496C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ustaleniem i weryfikacją stanu faktycznego dla potrzeb realizacji przedmiotu niniejszej umowy, dokona uprzedniej weryfikacji, czy </w:t>
      </w:r>
      <w:r w:rsidR="00BB7DC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ekspert</w:t>
      </w:r>
      <w:r w:rsidR="00F7485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r w:rsidR="00CA2B8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auditor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spełn</w:t>
      </w:r>
      <w:r w:rsidR="00A37E4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ia stosowne wymagania prawne</w:t>
      </w:r>
      <w:r w:rsidR="00082C4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oraz</w:t>
      </w:r>
      <w:r w:rsidR="00713DC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wymagania wskazanie </w:t>
      </w:r>
      <w:r w:rsidR="00713DCE" w:rsidRPr="00F21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</w:t>
      </w:r>
      <w:r w:rsidR="00F21769" w:rsidRPr="00F21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ust. </w:t>
      </w:r>
      <w:r w:rsidR="00713DCE" w:rsidRPr="00C67062">
        <w:rPr>
          <w:rFonts w:asciiTheme="majorHAnsi" w:hAnsiTheme="majorHAnsi" w:cstheme="majorHAnsi"/>
          <w:color w:val="000000" w:themeColor="text1"/>
          <w:sz w:val="22"/>
          <w:szCs w:val="22"/>
        </w:rPr>
        <w:t>18</w:t>
      </w:r>
      <w:r w:rsidR="005B7A6E" w:rsidRPr="00C670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ust. </w:t>
      </w:r>
      <w:r w:rsidR="005B7A6E" w:rsidRPr="00C67062">
        <w:rPr>
          <w:rFonts w:asciiTheme="majorHAnsi" w:hAnsiTheme="majorHAnsi" w:cstheme="majorHAnsi"/>
          <w:color w:val="000000" w:themeColor="text1"/>
          <w:sz w:val="22"/>
          <w:szCs w:val="22"/>
        </w:rPr>
        <w:t>28</w:t>
      </w:r>
      <w:r w:rsidR="00082C4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niniejszego paragrafu</w:t>
      </w:r>
      <w:r w:rsidR="00D462D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B7A6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oraz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5B7A6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czy ekspert</w:t>
      </w:r>
      <w:r w:rsidR="00F7485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/auditor</w:t>
      </w:r>
      <w:r w:rsidR="005B7A6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dysponuje koniecznymi kwalifikacjami</w:t>
      </w:r>
      <w:r w:rsidR="00082C4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A37E4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zachowuje do dyspozycji organów </w:t>
      </w:r>
      <w:r w:rsidR="006A348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nadzoru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A348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właściwe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dokumenty, zawierające ocenę kwalifikacji</w:t>
      </w:r>
      <w:r w:rsidR="00082C4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oraz wymagań stawionych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B7DC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ekspert</w:t>
      </w:r>
      <w:r w:rsidR="00082C4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owi</w:t>
      </w:r>
      <w:r w:rsidR="00F7485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r w:rsidR="004E197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auditorowi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pracy przez </w:t>
      </w:r>
      <w:r w:rsidR="00082C4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nich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wykonanej w zakresie </w:t>
      </w:r>
      <w:r w:rsidR="00A37E4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regulowanym właściwymi przepisami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CC59843" w14:textId="4A202749" w:rsidR="0059530C" w:rsidRPr="00CE2931" w:rsidRDefault="00A37E4D" w:rsidP="008C1FB2">
      <w:pPr>
        <w:widowControl w:val="0"/>
        <w:numPr>
          <w:ilvl w:val="1"/>
          <w:numId w:val="23"/>
        </w:numPr>
        <w:tabs>
          <w:tab w:val="left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PCBC zastrzega, iż posiada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zdolność do </w:t>
      </w:r>
      <w:r w:rsidR="00655E51" w:rsidRPr="00CE2931">
        <w:rPr>
          <w:rFonts w:asciiTheme="majorHAnsi" w:hAnsiTheme="majorHAnsi" w:cstheme="majorHAnsi"/>
          <w:sz w:val="22"/>
          <w:szCs w:val="22"/>
        </w:rPr>
        <w:t xml:space="preserve">wykonania wszelkich zadań </w:t>
      </w:r>
      <w:r w:rsidRPr="00CE2931">
        <w:rPr>
          <w:rFonts w:asciiTheme="majorHAnsi" w:hAnsiTheme="majorHAnsi" w:cstheme="majorHAnsi"/>
          <w:sz w:val="22"/>
          <w:szCs w:val="22"/>
        </w:rPr>
        <w:t>powierzanych PCBC</w:t>
      </w:r>
      <w:r w:rsidR="008C1FB2">
        <w:rPr>
          <w:rFonts w:asciiTheme="majorHAnsi" w:hAnsiTheme="majorHAnsi" w:cstheme="majorHAnsi"/>
          <w:sz w:val="22"/>
          <w:szCs w:val="22"/>
        </w:rPr>
        <w:t xml:space="preserve">, </w:t>
      </w:r>
      <w:r w:rsidRPr="00CE2931">
        <w:rPr>
          <w:rFonts w:asciiTheme="majorHAnsi" w:hAnsiTheme="majorHAnsi" w:cstheme="majorHAnsi"/>
          <w:sz w:val="22"/>
          <w:szCs w:val="22"/>
        </w:rPr>
        <w:t xml:space="preserve">jako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jednostce notyfikowanej w zakresie objętym przedmiotem niniejszej umowy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niezależnie od tego, czy badania te są prowadzone przez jednostkę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samodzielnie, czy też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jej odpowiedzialność. </w:t>
      </w:r>
      <w:r w:rsidR="00A44C3D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 szczególności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PCBC posiada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1380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wykwalifikowanych pracowników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wyposażenie potrzebne do właściwej realizacji zadań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technicznych i administracyjnych wynikających z czynności oceny </w:t>
      </w:r>
      <w:r w:rsidR="00DF1F6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i we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ryfikacji.</w:t>
      </w:r>
    </w:p>
    <w:p w14:paraId="736F2A6A" w14:textId="4E44781E" w:rsidR="00655E51" w:rsidRPr="00CE2931" w:rsidRDefault="00A37E4D" w:rsidP="008C1FB2">
      <w:pPr>
        <w:widowControl w:val="0"/>
        <w:numPr>
          <w:ilvl w:val="1"/>
          <w:numId w:val="23"/>
        </w:numPr>
        <w:tabs>
          <w:tab w:val="left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PCBC oświadcza, iż jako jednostka notyfikowana dysponuje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0ABB09E4" w14:textId="0C534F2A" w:rsidR="008642D1" w:rsidRPr="00CE2931" w:rsidRDefault="00987A9A" w:rsidP="00161B75">
      <w:pPr>
        <w:pStyle w:val="Akapitzlist"/>
        <w:widowControl w:val="0"/>
        <w:numPr>
          <w:ilvl w:val="0"/>
          <w:numId w:val="20"/>
        </w:numPr>
        <w:tabs>
          <w:tab w:val="num" w:pos="709"/>
        </w:tabs>
        <w:spacing w:beforeLines="20" w:before="48" w:afterLines="20" w:after="48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E2931">
        <w:rPr>
          <w:rFonts w:asciiTheme="majorHAnsi" w:hAnsiTheme="majorHAnsi" w:cstheme="majorHAnsi"/>
          <w:sz w:val="22"/>
          <w:szCs w:val="22"/>
        </w:rPr>
        <w:t>pracownikami mającymi</w:t>
      </w:r>
      <w:r w:rsidR="008642D1"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="000D2341" w:rsidRPr="00CE2931">
        <w:rPr>
          <w:rFonts w:asciiTheme="majorHAnsi" w:hAnsiTheme="majorHAnsi" w:cstheme="majorHAnsi"/>
          <w:sz w:val="22"/>
          <w:szCs w:val="22"/>
        </w:rPr>
        <w:t>wy</w:t>
      </w:r>
      <w:r w:rsidR="00655E51" w:rsidRPr="00CE2931">
        <w:rPr>
          <w:rFonts w:asciiTheme="majorHAnsi" w:hAnsiTheme="majorHAnsi" w:cstheme="majorHAnsi"/>
          <w:sz w:val="22"/>
          <w:szCs w:val="22"/>
        </w:rPr>
        <w:t>kształcenie</w:t>
      </w:r>
      <w:r w:rsidR="00A37E4D"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="004942E0" w:rsidRPr="00CE2931">
        <w:rPr>
          <w:rFonts w:asciiTheme="majorHAnsi" w:hAnsiTheme="majorHAnsi" w:cstheme="majorHAnsi"/>
          <w:sz w:val="22"/>
          <w:szCs w:val="22"/>
        </w:rPr>
        <w:t>techniczne</w:t>
      </w:r>
      <w:r w:rsidR="00A37E4D" w:rsidRPr="00CE2931">
        <w:rPr>
          <w:rFonts w:asciiTheme="majorHAnsi" w:hAnsiTheme="majorHAnsi" w:cstheme="majorHAnsi"/>
          <w:sz w:val="22"/>
          <w:szCs w:val="22"/>
        </w:rPr>
        <w:t xml:space="preserve"> obejmując</w:t>
      </w:r>
      <w:r w:rsidRPr="00CE2931">
        <w:rPr>
          <w:rFonts w:asciiTheme="majorHAnsi" w:hAnsiTheme="majorHAnsi" w:cstheme="majorHAnsi"/>
          <w:sz w:val="22"/>
          <w:szCs w:val="22"/>
        </w:rPr>
        <w:t>e</w:t>
      </w:r>
      <w:r w:rsidR="00655E51" w:rsidRPr="00CE2931">
        <w:rPr>
          <w:rFonts w:asciiTheme="majorHAnsi" w:hAnsiTheme="majorHAnsi" w:cstheme="majorHAnsi"/>
          <w:sz w:val="22"/>
          <w:szCs w:val="22"/>
        </w:rPr>
        <w:t xml:space="preserve"> działania weryfikacji i oceny, do których</w:t>
      </w:r>
      <w:r w:rsidRPr="00CE2931">
        <w:rPr>
          <w:rFonts w:asciiTheme="majorHAnsi" w:hAnsiTheme="majorHAnsi" w:cstheme="majorHAnsi"/>
          <w:sz w:val="22"/>
          <w:szCs w:val="22"/>
        </w:rPr>
        <w:t xml:space="preserve"> PCBC </w:t>
      </w:r>
      <w:r w:rsidR="00655E51" w:rsidRPr="00CE2931">
        <w:rPr>
          <w:rFonts w:asciiTheme="majorHAnsi" w:hAnsiTheme="majorHAnsi" w:cstheme="majorHAnsi"/>
          <w:sz w:val="22"/>
          <w:szCs w:val="22"/>
        </w:rPr>
        <w:t>został</w:t>
      </w:r>
      <w:r w:rsidRPr="00CE2931">
        <w:rPr>
          <w:rFonts w:asciiTheme="majorHAnsi" w:hAnsiTheme="majorHAnsi" w:cstheme="majorHAnsi"/>
          <w:sz w:val="22"/>
          <w:szCs w:val="22"/>
        </w:rPr>
        <w:t>o</w:t>
      </w:r>
      <w:r w:rsidR="00962929"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="00655E51" w:rsidRPr="00CE2931">
        <w:rPr>
          <w:rFonts w:asciiTheme="majorHAnsi" w:hAnsiTheme="majorHAnsi" w:cstheme="majorHAnsi"/>
          <w:sz w:val="22"/>
          <w:szCs w:val="22"/>
        </w:rPr>
        <w:t>powołan</w:t>
      </w:r>
      <w:r w:rsidRPr="00CE2931">
        <w:rPr>
          <w:rFonts w:asciiTheme="majorHAnsi" w:hAnsiTheme="majorHAnsi" w:cstheme="majorHAnsi"/>
          <w:sz w:val="22"/>
          <w:szCs w:val="22"/>
        </w:rPr>
        <w:t>e</w:t>
      </w:r>
      <w:r w:rsidR="00655E51" w:rsidRPr="00CE2931">
        <w:rPr>
          <w:rFonts w:asciiTheme="majorHAnsi" w:hAnsiTheme="majorHAnsi" w:cstheme="majorHAnsi"/>
          <w:sz w:val="22"/>
          <w:szCs w:val="22"/>
        </w:rPr>
        <w:t>,</w:t>
      </w:r>
    </w:p>
    <w:p w14:paraId="44771A2A" w14:textId="76302AEB" w:rsidR="008642D1" w:rsidRPr="00CE2931" w:rsidRDefault="00987A9A" w:rsidP="00161B75">
      <w:pPr>
        <w:pStyle w:val="Akapitzlist"/>
        <w:widowControl w:val="0"/>
        <w:numPr>
          <w:ilvl w:val="0"/>
          <w:numId w:val="20"/>
        </w:numPr>
        <w:tabs>
          <w:tab w:val="num" w:pos="709"/>
        </w:tabs>
        <w:spacing w:beforeLines="20" w:before="48" w:afterLines="20" w:after="48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pracownikami mającymi 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znajomość zasad dotyczących </w:t>
      </w:r>
      <w:r w:rsidR="004E197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oceny dokumentacji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które ma przeprowadzać</w:t>
      </w:r>
      <w:r w:rsidR="00A37E4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oraz właściwe doświadczenie</w:t>
      </w:r>
      <w:r w:rsidR="0096292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dziedzinie takich </w:t>
      </w:r>
      <w:r w:rsidR="004E197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ocen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283388CA" w14:textId="5D9C379A" w:rsidR="00987A9A" w:rsidRPr="00CE2931" w:rsidRDefault="00655E51" w:rsidP="00161B75">
      <w:pPr>
        <w:pStyle w:val="Akapitzlist"/>
        <w:widowControl w:val="0"/>
        <w:numPr>
          <w:ilvl w:val="0"/>
          <w:numId w:val="20"/>
        </w:numPr>
        <w:tabs>
          <w:tab w:val="num" w:pos="709"/>
        </w:tabs>
        <w:spacing w:beforeLines="20" w:before="48" w:afterLines="20" w:after="48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możliwości</w:t>
      </w:r>
      <w:r w:rsidR="00987A9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ami (w tym finansowymi)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konieczn</w:t>
      </w:r>
      <w:r w:rsidR="00987A9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ymi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</w:t>
      </w:r>
      <w:r w:rsidR="0021195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należytej realizacji niniejszej 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8C1FB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mowy</w:t>
      </w:r>
      <w:r w:rsidR="0021195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A44C3D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21195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tym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sporządzania certyfikatów, zapisów oraz sprawozdań</w:t>
      </w:r>
      <w:r w:rsidR="00681CF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dokumentujących</w:t>
      </w:r>
      <w:r w:rsidR="007B66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wykonanie ocen</w:t>
      </w:r>
      <w:r w:rsidR="00987A9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5C136474" w14:textId="1003A084" w:rsidR="0097162A" w:rsidRPr="00CE2931" w:rsidRDefault="00987A9A" w:rsidP="00161B75">
      <w:pPr>
        <w:pStyle w:val="Akapitzlist"/>
        <w:widowControl w:val="0"/>
        <w:numPr>
          <w:ilvl w:val="0"/>
          <w:numId w:val="20"/>
        </w:numPr>
        <w:tabs>
          <w:tab w:val="num" w:pos="709"/>
        </w:tabs>
        <w:spacing w:beforeLines="20" w:before="48" w:afterLines="20" w:after="48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pracownikami dysponującymi umiejętnością przygotowania certyfikatów oraz sporządzania zapisów i sprawozdań dokumentujących przeprowadzenie ocen. </w:t>
      </w:r>
    </w:p>
    <w:p w14:paraId="6F01A362" w14:textId="5D6EFE00" w:rsidR="0097162A" w:rsidRPr="00CE2931" w:rsidRDefault="00681CF8" w:rsidP="008C1FB2">
      <w:pPr>
        <w:widowControl w:val="0"/>
        <w:numPr>
          <w:ilvl w:val="1"/>
          <w:numId w:val="23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PCBC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jako jednostka notyfikowana</w:t>
      </w:r>
      <w:r w:rsidR="006607D6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gwarantuje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własną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bezstronność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procesach/działaniach 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>związanych z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realizacją przedmiotu niniejszej umowy. W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ynagrodzenie</w:t>
      </w:r>
      <w:r w:rsidR="00850FD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pracownik</w:t>
      </w:r>
      <w:r w:rsidR="001C34CD">
        <w:rPr>
          <w:rFonts w:asciiTheme="majorHAnsi" w:hAnsiTheme="majorHAnsi" w:cstheme="majorHAnsi"/>
          <w:color w:val="000000" w:themeColor="text1"/>
          <w:sz w:val="22"/>
          <w:szCs w:val="22"/>
        </w:rPr>
        <w:t>ów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PCBC </w:t>
      </w:r>
      <w:r w:rsidR="0050411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nie zależy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od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liczby przeprowadzonych </w:t>
      </w:r>
      <w:r w:rsidR="0040675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ocen/ </w:t>
      </w:r>
      <w:proofErr w:type="spellStart"/>
      <w:r w:rsidR="0040675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auditów</w:t>
      </w:r>
      <w:proofErr w:type="spellEnd"/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ani od ich rezultatów.</w:t>
      </w:r>
    </w:p>
    <w:p w14:paraId="2CE5E05D" w14:textId="06132516" w:rsidR="0097162A" w:rsidRPr="00CE2931" w:rsidRDefault="00504113" w:rsidP="008C1FB2">
      <w:pPr>
        <w:widowControl w:val="0"/>
        <w:numPr>
          <w:ilvl w:val="1"/>
          <w:numId w:val="23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PCBC oświadcza, iż jako jednostka notyfikowana</w:t>
      </w:r>
      <w:r w:rsidR="00316855" w:rsidRPr="00316855">
        <w:t xml:space="preserve"> </w:t>
      </w:r>
      <w:r w:rsidR="00316855" w:rsidRPr="00316855">
        <w:rPr>
          <w:rFonts w:asciiTheme="majorHAnsi" w:hAnsiTheme="majorHAnsi" w:cstheme="majorHAnsi"/>
          <w:color w:val="000000" w:themeColor="text1"/>
          <w:sz w:val="22"/>
          <w:szCs w:val="22"/>
        </w:rPr>
        <w:t>jest ubezpieczona od odpowiedzialności cywilnej, na dowód czego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posiada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polisę ubezpieczenia od odpowiedzialności cy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wilnej</w:t>
      </w:r>
      <w:r w:rsidR="006D150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>związku</w:t>
      </w:r>
      <w:r w:rsidR="006D150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ze świadczonymi w oparciu o niniejszą umowę usługami</w:t>
      </w:r>
      <w:r w:rsidR="0061464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9DD09B5" w14:textId="4C91D9A2" w:rsidR="0097162A" w:rsidRPr="00CE2931" w:rsidRDefault="00504113" w:rsidP="008C1FB2">
      <w:pPr>
        <w:widowControl w:val="0"/>
        <w:numPr>
          <w:ilvl w:val="1"/>
          <w:numId w:val="23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PCBC oświadcza, iż</w:t>
      </w:r>
      <w:r w:rsidR="001F0BA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jego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racownicy</w:t>
      </w:r>
      <w:r w:rsidR="001F0BA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oraz</w:t>
      </w:r>
      <w:r w:rsidR="0047312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jego</w:t>
      </w:r>
      <w:r w:rsidR="007D4C0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kadra zarządzająca</w:t>
      </w:r>
      <w:r w:rsidR="00A813B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zobowiązani są do zachowania tajemnicy zawodowej w odniesieniu do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wszystkich </w:t>
      </w:r>
      <w:r w:rsidR="006D150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danych/</w:t>
      </w:r>
      <w:r w:rsidR="0067223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informacji/</w:t>
      </w:r>
      <w:r w:rsidR="006D150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dokumentów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jakie uzyskują w ramach wywiązywania się z obowiązków służbowych</w:t>
      </w:r>
      <w:r w:rsidR="006D150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>związku</w:t>
      </w:r>
      <w:r w:rsidR="006D150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 realizacją przedmiotu niniejszej umowy</w:t>
      </w:r>
      <w:r w:rsidR="0011013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w szczególności zaś</w:t>
      </w:r>
      <w:r w:rsidR="007D4C0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1013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wszelkich informacji technicznych (w tym specyfikacji, planów, schematów, rysunków, oprogramowania, danych), technologicznych</w:t>
      </w:r>
      <w:r w:rsidR="00F9564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</w:t>
      </w:r>
      <w:r w:rsidR="0011013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prawnych dotyczących </w:t>
      </w:r>
      <w:r w:rsidR="0040675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Producenta</w:t>
      </w:r>
      <w:r w:rsidR="001F0BA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11013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>Powyższa</w:t>
      </w:r>
      <w:r w:rsidR="0011013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klauzula poufności nie odnosi się do </w:t>
      </w:r>
      <w:r w:rsidR="00655E5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danych</w:t>
      </w:r>
      <w:r w:rsidR="001F0BA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/informacji/dokumentów</w:t>
      </w:r>
      <w:r w:rsidR="0011013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które ujawnione są uprawnionym </w:t>
      </w:r>
      <w:r w:rsidR="0011013E" w:rsidRPr="0082608E">
        <w:rPr>
          <w:rFonts w:asciiTheme="majorHAnsi" w:hAnsiTheme="majorHAnsi" w:cstheme="majorHAnsi"/>
          <w:color w:val="000000" w:themeColor="text1"/>
          <w:sz w:val="22"/>
          <w:szCs w:val="22"/>
        </w:rPr>
        <w:t>na podstawie przepisów</w:t>
      </w:r>
      <w:r w:rsidR="00655E51" w:rsidRPr="0082608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2608E" w:rsidRPr="0082608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prawa jednostkom nadzoru (PCA), organom administracji 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8C1FB2" w:rsidRPr="0082608E">
        <w:rPr>
          <w:rFonts w:asciiTheme="majorHAnsi" w:hAnsiTheme="majorHAnsi" w:cstheme="majorHAnsi"/>
          <w:color w:val="000000" w:themeColor="text1"/>
          <w:sz w:val="22"/>
          <w:szCs w:val="22"/>
        </w:rPr>
        <w:t>aństwa</w:t>
      </w:r>
      <w:r w:rsidR="0082608E" w:rsidRPr="0082608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/ organom administracji UE 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11013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jak również</w:t>
      </w:r>
      <w:r w:rsidR="001F0BA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danych/</w:t>
      </w:r>
      <w:r w:rsidR="00672230" w:rsidRPr="0067223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7223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informacji/</w:t>
      </w:r>
      <w:r w:rsidR="001F0BA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dokumentów/, których ujawnienie wymagane jest przepisami prawa lub</w:t>
      </w:r>
      <w:r w:rsidR="008C1FB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1F0BA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których ujawnienie PCBC uzyskało zgodę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1F0BA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451E968C" w14:textId="1E7FC0FF" w:rsidR="00D55C41" w:rsidRPr="00CE2931" w:rsidRDefault="00D55C41" w:rsidP="008C1FB2">
      <w:pPr>
        <w:widowControl w:val="0"/>
        <w:numPr>
          <w:ilvl w:val="1"/>
          <w:numId w:val="23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sz w:val="22"/>
          <w:szCs w:val="22"/>
        </w:rPr>
      </w:pPr>
      <w:r w:rsidRPr="00CE2931">
        <w:rPr>
          <w:rFonts w:asciiTheme="majorHAnsi" w:hAnsiTheme="majorHAnsi" w:cstheme="majorHAnsi"/>
          <w:sz w:val="22"/>
          <w:szCs w:val="22"/>
        </w:rPr>
        <w:t>PCBC oświadcza, iż informacj</w:t>
      </w:r>
      <w:r w:rsidR="005A01E4">
        <w:rPr>
          <w:rFonts w:asciiTheme="majorHAnsi" w:hAnsiTheme="majorHAnsi" w:cstheme="majorHAnsi"/>
          <w:sz w:val="22"/>
          <w:szCs w:val="22"/>
        </w:rPr>
        <w:t>e</w:t>
      </w:r>
      <w:r w:rsidRPr="00CE2931">
        <w:rPr>
          <w:rFonts w:asciiTheme="majorHAnsi" w:hAnsiTheme="majorHAnsi" w:cstheme="majorHAnsi"/>
          <w:sz w:val="22"/>
          <w:szCs w:val="22"/>
        </w:rPr>
        <w:t xml:space="preserve"> o </w:t>
      </w:r>
      <w:r w:rsidR="00487820" w:rsidRPr="00CE2931">
        <w:rPr>
          <w:rFonts w:asciiTheme="majorHAnsi" w:hAnsiTheme="majorHAnsi" w:cstheme="majorHAnsi"/>
          <w:sz w:val="22"/>
          <w:szCs w:val="22"/>
        </w:rPr>
        <w:t>Producencie</w:t>
      </w:r>
      <w:r w:rsidRPr="00CE2931">
        <w:rPr>
          <w:rFonts w:asciiTheme="majorHAnsi" w:hAnsiTheme="majorHAnsi" w:cstheme="majorHAnsi"/>
          <w:sz w:val="22"/>
          <w:szCs w:val="22"/>
        </w:rPr>
        <w:t xml:space="preserve"> otrzymane z innych źródeł niż </w:t>
      </w:r>
      <w:r w:rsidR="00487820" w:rsidRPr="00CE2931">
        <w:rPr>
          <w:rFonts w:asciiTheme="majorHAnsi" w:hAnsiTheme="majorHAnsi" w:cstheme="majorHAnsi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sz w:val="22"/>
          <w:szCs w:val="22"/>
        </w:rPr>
        <w:t xml:space="preserve"> (np. od składającego skargę lub urzędów publicznych) również traktowane są jako poufne. </w:t>
      </w:r>
    </w:p>
    <w:p w14:paraId="7FCA27E3" w14:textId="41470B80" w:rsidR="0097162A" w:rsidRPr="00CE2931" w:rsidRDefault="00BB7DCD" w:rsidP="0083559E">
      <w:pPr>
        <w:widowControl w:val="0"/>
        <w:numPr>
          <w:ilvl w:val="1"/>
          <w:numId w:val="23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sz w:val="22"/>
          <w:szCs w:val="22"/>
        </w:rPr>
        <w:t xml:space="preserve">Strony </w:t>
      </w:r>
      <w:r w:rsidR="0069107B">
        <w:rPr>
          <w:rFonts w:asciiTheme="majorHAnsi" w:hAnsiTheme="majorHAnsi" w:cstheme="majorHAnsi"/>
          <w:sz w:val="22"/>
          <w:szCs w:val="22"/>
        </w:rPr>
        <w:t>u</w:t>
      </w:r>
      <w:r w:rsidRPr="00CE2931">
        <w:rPr>
          <w:rFonts w:asciiTheme="majorHAnsi" w:hAnsiTheme="majorHAnsi" w:cstheme="majorHAnsi"/>
          <w:sz w:val="22"/>
          <w:szCs w:val="22"/>
        </w:rPr>
        <w:t xml:space="preserve">mowy uznają, iż </w:t>
      </w:r>
      <w:r w:rsidR="003A25CC" w:rsidRPr="00CE2931">
        <w:rPr>
          <w:rFonts w:asciiTheme="majorHAnsi" w:hAnsiTheme="majorHAnsi" w:cstheme="majorHAnsi"/>
          <w:sz w:val="22"/>
          <w:szCs w:val="22"/>
        </w:rPr>
        <w:t xml:space="preserve">opinia </w:t>
      </w:r>
      <w:r w:rsidRPr="00CE2931">
        <w:rPr>
          <w:rFonts w:asciiTheme="majorHAnsi" w:hAnsiTheme="majorHAnsi" w:cstheme="majorHAnsi"/>
          <w:sz w:val="22"/>
          <w:szCs w:val="22"/>
        </w:rPr>
        <w:t>powo</w:t>
      </w:r>
      <w:r w:rsidR="003A25CC" w:rsidRPr="00CE2931">
        <w:rPr>
          <w:rFonts w:asciiTheme="majorHAnsi" w:hAnsiTheme="majorHAnsi" w:cstheme="majorHAnsi"/>
          <w:sz w:val="22"/>
          <w:szCs w:val="22"/>
        </w:rPr>
        <w:t>łanego przez PCBC eksperta</w:t>
      </w:r>
      <w:r w:rsidR="0011013E" w:rsidRPr="00CE2931">
        <w:rPr>
          <w:rFonts w:asciiTheme="majorHAnsi" w:hAnsiTheme="majorHAnsi" w:cstheme="majorHAnsi"/>
          <w:sz w:val="22"/>
          <w:szCs w:val="22"/>
        </w:rPr>
        <w:t>/auditora/pracownika</w:t>
      </w:r>
      <w:r w:rsidR="003A25C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jak również raport z </w:t>
      </w:r>
      <w:proofErr w:type="spellStart"/>
      <w:r w:rsidR="003A25C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podlega</w:t>
      </w:r>
      <w:r w:rsidR="003A25C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ją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kwestionowaniu przez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a.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jest uprawni</w:t>
      </w:r>
      <w:r w:rsidR="003A25C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ony do składania uwag w 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odniesieniu do stanowiska/o</w:t>
      </w:r>
      <w:r w:rsidR="00A838B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ceny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eksperta</w:t>
      </w:r>
      <w:r w:rsidR="003A25C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r w:rsidR="00C1380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auditora</w:t>
      </w:r>
      <w:r w:rsidR="0021195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może on zgłosić jedynie merytoryczne uwagi względem stanowiska przekazywanego przez PCBC</w:t>
      </w:r>
      <w:r w:rsidR="0043174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21195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9692614" w14:textId="16B0BFD8" w:rsidR="008A2A30" w:rsidRPr="00CE2931" w:rsidRDefault="00BB7DCD" w:rsidP="00431745">
      <w:pPr>
        <w:widowControl w:val="0"/>
        <w:numPr>
          <w:ilvl w:val="1"/>
          <w:numId w:val="23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Powołany ekspert</w:t>
      </w:r>
      <w:r w:rsidR="001C34CD">
        <w:rPr>
          <w:rFonts w:asciiTheme="majorHAnsi" w:hAnsiTheme="majorHAnsi" w:cstheme="majorHAnsi"/>
          <w:color w:val="000000" w:themeColor="text1"/>
          <w:sz w:val="22"/>
          <w:szCs w:val="22"/>
        </w:rPr>
        <w:t>/auditor/</w:t>
      </w:r>
      <w:r w:rsidR="003A25C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pracownik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o którym mowa w </w:t>
      </w:r>
      <w:r w:rsidR="00431745">
        <w:rPr>
          <w:rFonts w:asciiTheme="majorHAnsi" w:hAnsiTheme="majorHAnsi" w:cstheme="majorHAnsi"/>
          <w:color w:val="000000" w:themeColor="text1"/>
          <w:sz w:val="22"/>
          <w:szCs w:val="22"/>
        </w:rPr>
        <w:t>ust.</w:t>
      </w:r>
      <w:r w:rsidR="0043174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6A348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6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powyżej</w:t>
      </w:r>
      <w:r w:rsidR="00C1380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jest bezstronny i</w:t>
      </w:r>
      <w:r w:rsidR="007734B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niezależny w swojej ocenie od stanowisk/ocen PCBC i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a.</w:t>
      </w:r>
    </w:p>
    <w:p w14:paraId="0D7CBFAB" w14:textId="64C9A596" w:rsidR="00570531" w:rsidRPr="00CE2931" w:rsidRDefault="008A2A30" w:rsidP="00431745">
      <w:pPr>
        <w:widowControl w:val="0"/>
        <w:numPr>
          <w:ilvl w:val="1"/>
          <w:numId w:val="23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PCBC jako jednostka notyfikowana</w:t>
      </w:r>
      <w:r w:rsidR="009078B3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jak również jej kadra zarządzająca oraz pracownicy </w:t>
      </w:r>
      <w:r w:rsidR="005B7A6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nie oferują ani nie świadczą żadnych usług, które mogą podważyć zaufanie co do ich niezależności, bezstronności i obiektywizmu w </w:t>
      </w:r>
      <w:r w:rsidR="00431745">
        <w:rPr>
          <w:rFonts w:asciiTheme="majorHAnsi" w:hAnsiTheme="majorHAnsi" w:cstheme="majorHAnsi"/>
          <w:color w:val="000000" w:themeColor="text1"/>
          <w:sz w:val="22"/>
          <w:szCs w:val="22"/>
        </w:rPr>
        <w:t>związku</w:t>
      </w:r>
      <w:r w:rsidR="005B7A6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 realizacją przedmiotu niniejszej umowy.</w:t>
      </w:r>
    </w:p>
    <w:p w14:paraId="325F1155" w14:textId="50B154A2" w:rsidR="00105A57" w:rsidRPr="00CE2931" w:rsidRDefault="00105A57" w:rsidP="00111E45">
      <w:pPr>
        <w:widowControl w:val="0"/>
        <w:numPr>
          <w:ilvl w:val="1"/>
          <w:numId w:val="23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sz w:val="22"/>
          <w:szCs w:val="22"/>
        </w:rPr>
      </w:pPr>
      <w:r w:rsidRPr="00CE2931">
        <w:rPr>
          <w:rFonts w:asciiTheme="majorHAnsi" w:hAnsiTheme="majorHAnsi" w:cstheme="majorHAnsi"/>
          <w:sz w:val="22"/>
          <w:szCs w:val="22"/>
        </w:rPr>
        <w:t>PCBC może przekazać podwykonawcy wykonanie badań tylko i wyłącznie po wcześniejszym uzyskaniu zgody od Producenta.</w:t>
      </w:r>
      <w:r w:rsidR="00E921D1" w:rsidRPr="00E921D1">
        <w:t xml:space="preserve"> </w:t>
      </w:r>
      <w:r w:rsidR="00E921D1" w:rsidRPr="00E921D1">
        <w:rPr>
          <w:rFonts w:asciiTheme="majorHAnsi" w:hAnsiTheme="majorHAnsi" w:cstheme="majorHAnsi"/>
          <w:sz w:val="22"/>
          <w:szCs w:val="22"/>
        </w:rPr>
        <w:t xml:space="preserve">Ekspert lub auditor uczestniczący w jakikolwiek sposób w realizacji </w:t>
      </w:r>
      <w:r w:rsidR="00111E45">
        <w:rPr>
          <w:rFonts w:asciiTheme="majorHAnsi" w:hAnsiTheme="majorHAnsi" w:cstheme="majorHAnsi"/>
          <w:sz w:val="22"/>
          <w:szCs w:val="22"/>
        </w:rPr>
        <w:t>niniejszej u</w:t>
      </w:r>
      <w:r w:rsidR="00111E45" w:rsidRPr="00E921D1">
        <w:rPr>
          <w:rFonts w:asciiTheme="majorHAnsi" w:hAnsiTheme="majorHAnsi" w:cstheme="majorHAnsi"/>
          <w:sz w:val="22"/>
          <w:szCs w:val="22"/>
        </w:rPr>
        <w:t>mowy</w:t>
      </w:r>
      <w:r w:rsidR="00111E45">
        <w:rPr>
          <w:rFonts w:asciiTheme="majorHAnsi" w:hAnsiTheme="majorHAnsi" w:cstheme="majorHAnsi"/>
          <w:sz w:val="22"/>
          <w:szCs w:val="22"/>
        </w:rPr>
        <w:t xml:space="preserve"> </w:t>
      </w:r>
      <w:r w:rsidR="00E921D1" w:rsidRPr="00E921D1">
        <w:rPr>
          <w:rFonts w:asciiTheme="majorHAnsi" w:hAnsiTheme="majorHAnsi" w:cstheme="majorHAnsi"/>
          <w:sz w:val="22"/>
          <w:szCs w:val="22"/>
        </w:rPr>
        <w:t xml:space="preserve">ze strony PCBC w tym w </w:t>
      </w:r>
      <w:proofErr w:type="spellStart"/>
      <w:r w:rsidR="00E921D1" w:rsidRPr="00E921D1">
        <w:rPr>
          <w:rFonts w:asciiTheme="majorHAnsi" w:hAnsiTheme="majorHAnsi" w:cstheme="majorHAnsi"/>
          <w:sz w:val="22"/>
          <w:szCs w:val="22"/>
        </w:rPr>
        <w:t>auditach</w:t>
      </w:r>
      <w:proofErr w:type="spellEnd"/>
      <w:r w:rsidR="00E921D1" w:rsidRPr="00E921D1">
        <w:rPr>
          <w:rFonts w:asciiTheme="majorHAnsi" w:hAnsiTheme="majorHAnsi" w:cstheme="majorHAnsi"/>
          <w:sz w:val="22"/>
          <w:szCs w:val="22"/>
        </w:rPr>
        <w:t xml:space="preserve"> lub procedurze </w:t>
      </w:r>
      <w:r w:rsidR="00111E45">
        <w:rPr>
          <w:rFonts w:asciiTheme="majorHAnsi" w:hAnsiTheme="majorHAnsi" w:cstheme="majorHAnsi"/>
          <w:sz w:val="22"/>
          <w:szCs w:val="22"/>
        </w:rPr>
        <w:t>o</w:t>
      </w:r>
      <w:r w:rsidR="00111E45" w:rsidRPr="00E921D1">
        <w:rPr>
          <w:rFonts w:asciiTheme="majorHAnsi" w:hAnsiTheme="majorHAnsi" w:cstheme="majorHAnsi"/>
          <w:sz w:val="22"/>
          <w:szCs w:val="22"/>
        </w:rPr>
        <w:t xml:space="preserve">ceny </w:t>
      </w:r>
      <w:r w:rsidR="00E921D1" w:rsidRPr="00E921D1">
        <w:rPr>
          <w:rFonts w:asciiTheme="majorHAnsi" w:hAnsiTheme="majorHAnsi" w:cstheme="majorHAnsi"/>
          <w:sz w:val="22"/>
          <w:szCs w:val="22"/>
        </w:rPr>
        <w:t>zgodności nie będą traktowani, jako podwykonawcy PCBC w rozumieniu niniejszego postanowienia.</w:t>
      </w:r>
    </w:p>
    <w:p w14:paraId="25FF2701" w14:textId="77777777" w:rsidR="00504113" w:rsidRPr="00CE2931" w:rsidRDefault="00504113" w:rsidP="00454F09">
      <w:pPr>
        <w:widowControl w:val="0"/>
        <w:spacing w:beforeLines="20" w:before="48" w:afterLines="20" w:after="48"/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88811E0" w14:textId="54B3D68E" w:rsidR="00655579" w:rsidRDefault="00655579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sym w:font="Times New Roman" w:char="00A7"/>
      </w: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3. Prawa i obowiązki PCBC </w:t>
      </w:r>
    </w:p>
    <w:p w14:paraId="39C204FC" w14:textId="77777777" w:rsidR="00011D2E" w:rsidRPr="00CE2931" w:rsidRDefault="00011D2E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722A747" w14:textId="4A563550" w:rsidR="00655579" w:rsidRPr="00CE2931" w:rsidRDefault="00244C4E" w:rsidP="00111E45">
      <w:pPr>
        <w:pStyle w:val="Akapitzlist"/>
        <w:widowControl w:val="0"/>
        <w:numPr>
          <w:ilvl w:val="0"/>
          <w:numId w:val="25"/>
        </w:numPr>
        <w:spacing w:beforeLines="20" w:before="48" w:afterLines="20" w:after="48"/>
        <w:ind w:left="709" w:hanging="709"/>
        <w:contextualSpacing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Prawa PCBC:</w:t>
      </w:r>
    </w:p>
    <w:p w14:paraId="77780DA8" w14:textId="684811D5" w:rsidR="00FB53C0" w:rsidRPr="00CE2931" w:rsidRDefault="00655579" w:rsidP="00111E45">
      <w:pPr>
        <w:widowControl w:val="0"/>
        <w:numPr>
          <w:ilvl w:val="1"/>
          <w:numId w:val="4"/>
        </w:numPr>
        <w:tabs>
          <w:tab w:val="clear" w:pos="390"/>
          <w:tab w:val="num" w:pos="709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PCBC ma prawo do wydania Certyfikatu</w:t>
      </w:r>
      <w:r w:rsidR="0048782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wyłącznie na podstawie przeprowadzenia wła</w:t>
      </w:r>
      <w:r w:rsidR="00C016C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snej oceny zgodności dla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48782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="00C016C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3B0CF14" w14:textId="2FE0F511" w:rsidR="003A25CC" w:rsidRPr="00CE2931" w:rsidRDefault="00655579" w:rsidP="00111E45">
      <w:pPr>
        <w:widowControl w:val="0"/>
        <w:numPr>
          <w:ilvl w:val="1"/>
          <w:numId w:val="4"/>
        </w:numPr>
        <w:tabs>
          <w:tab w:val="left" w:pos="1276"/>
        </w:tabs>
        <w:spacing w:beforeLines="20" w:before="48" w:afterLines="20" w:after="48"/>
        <w:ind w:left="391" w:firstLine="31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ma prawo przerwać ocenę zgodności, jeżeli: </w:t>
      </w:r>
    </w:p>
    <w:p w14:paraId="41052595" w14:textId="14BC43CA" w:rsidR="003A25CC" w:rsidRDefault="00B67374" w:rsidP="00581867">
      <w:pPr>
        <w:pStyle w:val="Tekstpodstawowywcity2"/>
        <w:widowControl w:val="0"/>
        <w:numPr>
          <w:ilvl w:val="0"/>
          <w:numId w:val="16"/>
        </w:numPr>
        <w:spacing w:beforeLines="20" w:before="48" w:afterLines="20" w:after="48" w:line="240" w:lineRule="auto"/>
        <w:ind w:left="1843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3A25C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wywiąże się i nie przekaże planu</w:t>
      </w:r>
      <w:r w:rsidR="00B7561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korekcji </w:t>
      </w:r>
      <w:r w:rsidR="00B416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</w:t>
      </w:r>
      <w:r w:rsidR="003A25C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działań korygujących</w:t>
      </w:r>
      <w:r w:rsidR="00C47B7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9496C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C47B7D">
        <w:rPr>
          <w:rFonts w:asciiTheme="majorHAnsi" w:hAnsiTheme="majorHAnsi" w:cstheme="majorHAnsi"/>
          <w:color w:val="000000" w:themeColor="text1"/>
          <w:sz w:val="22"/>
          <w:szCs w:val="22"/>
        </w:rPr>
        <w:t>w terminie ustalonym z PCBC, nie dłuższym niż 30 dni</w:t>
      </w:r>
      <w:r w:rsidR="00DB42D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(w zakresie modułu D1)</w:t>
      </w:r>
      <w:r w:rsidR="00375FAE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7D7F8D82" w14:textId="1F27453A" w:rsidR="003A25CC" w:rsidRDefault="00B67374" w:rsidP="00DF75E4">
      <w:pPr>
        <w:pStyle w:val="Tekstpodstawowywcity2"/>
        <w:widowControl w:val="0"/>
        <w:numPr>
          <w:ilvl w:val="0"/>
          <w:numId w:val="16"/>
        </w:numPr>
        <w:spacing w:beforeLines="20" w:before="48" w:afterLines="20" w:after="48" w:line="240" w:lineRule="auto"/>
        <w:ind w:left="1843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wywiąże się i nie przekaże informacji o wykonaniu </w:t>
      </w:r>
      <w:r w:rsidR="00B75612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korekcji i </w:t>
      </w:r>
      <w:r w:rsidR="00655579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działań ko</w:t>
      </w:r>
      <w:r w:rsidR="00B468FD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rygujących po </w:t>
      </w:r>
      <w:proofErr w:type="spellStart"/>
      <w:r w:rsidR="00655579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audicie</w:t>
      </w:r>
      <w:proofErr w:type="spellEnd"/>
      <w:r w:rsidR="00655579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certyfikującym w terminach określonych przez PCBC</w:t>
      </w:r>
      <w:r w:rsidR="006838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B42DA">
        <w:rPr>
          <w:rFonts w:asciiTheme="majorHAnsi" w:hAnsiTheme="majorHAnsi" w:cstheme="majorHAnsi"/>
          <w:color w:val="000000" w:themeColor="text1"/>
          <w:sz w:val="22"/>
          <w:szCs w:val="22"/>
        </w:rPr>
        <w:t>w zakresie modułu D1</w:t>
      </w:r>
      <w:r w:rsidR="0068384A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C016C7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  <w:r w:rsidR="00655579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1649FE7" w14:textId="23F9FD8E" w:rsidR="00655579" w:rsidRPr="00DF75E4" w:rsidRDefault="00B67374" w:rsidP="00FC112D">
      <w:pPr>
        <w:pStyle w:val="Tekstpodstawowywcity2"/>
        <w:widowControl w:val="0"/>
        <w:numPr>
          <w:ilvl w:val="0"/>
          <w:numId w:val="16"/>
        </w:numPr>
        <w:spacing w:beforeLines="20" w:before="48" w:afterLines="20" w:after="48" w:line="240" w:lineRule="auto"/>
        <w:ind w:left="1843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F75E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="00655579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wywiązuje się z zobowiązań wynikających z niniejszej </w:t>
      </w:r>
      <w:r w:rsidR="00DF75E4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umowy</w:t>
      </w:r>
      <w:r w:rsidR="00655579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F9496C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655579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w szczególno</w:t>
      </w:r>
      <w:r w:rsidR="00DD6423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ści w</w:t>
      </w:r>
      <w:r w:rsidR="005B5EBA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DD6423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zakresie wymaganych opłat i przekazywania wymaganych przez PCBC dokumentów</w:t>
      </w:r>
      <w:r w:rsidR="00316855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850FDA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jak również spełnienia kryteriów i wymagań wskazanych przez PCBC</w:t>
      </w:r>
      <w:r w:rsidR="00DF75E4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4DFD62C7" w14:textId="3E4F7EC4" w:rsidR="00351773" w:rsidRPr="00111185" w:rsidRDefault="00351773" w:rsidP="00011D2E">
      <w:pPr>
        <w:widowControl w:val="0"/>
        <w:spacing w:beforeLines="20" w:before="48" w:afterLines="20" w:after="48"/>
        <w:ind w:left="1276"/>
        <w:jc w:val="both"/>
        <w:rPr>
          <w:rFonts w:asciiTheme="majorHAnsi" w:hAnsiTheme="majorHAnsi" w:cstheme="minorHAnsi"/>
          <w:sz w:val="22"/>
          <w:szCs w:val="22"/>
        </w:rPr>
      </w:pPr>
      <w:r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Informacja o przerwaniu oceny zgodności kierowana jest niezwłocznie do </w:t>
      </w:r>
      <w:r w:rsidR="00B67374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9078B3" w:rsidRPr="00DF75E4">
        <w:rPr>
          <w:rFonts w:asciiTheme="majorHAnsi" w:hAnsiTheme="majorHAnsi"/>
          <w:sz w:val="22"/>
          <w:szCs w:val="22"/>
        </w:rPr>
        <w:t xml:space="preserve"> </w:t>
      </w:r>
      <w:r w:rsidR="00F9496C">
        <w:rPr>
          <w:rFonts w:asciiTheme="majorHAnsi" w:hAnsiTheme="majorHAnsi"/>
          <w:sz w:val="22"/>
          <w:szCs w:val="22"/>
        </w:rPr>
        <w:br/>
      </w:r>
      <w:r w:rsidR="009078B3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formie decyzji PCBC </w:t>
      </w:r>
      <w:r w:rsidR="00DF75E4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piśmie </w:t>
      </w:r>
      <w:r w:rsidR="009078B3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(wraz z uzasadnieniem)</w:t>
      </w:r>
      <w:r w:rsidR="00111E45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9078B3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11E45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przekazy</w:t>
      </w:r>
      <w:r w:rsidR="00DF75E4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>wa</w:t>
      </w:r>
      <w:r w:rsidR="00111E45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nej </w:t>
      </w:r>
      <w:r w:rsidR="009078B3" w:rsidRPr="00DF75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Producentowi </w:t>
      </w:r>
      <w:r w:rsidR="002F03EA" w:rsidRPr="000B01DB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na adres </w:t>
      </w:r>
      <w:r w:rsidR="002F03EA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e-mail </w:t>
      </w:r>
      <w:r w:rsidR="002F03EA"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wskazany przez Producenta w </w:t>
      </w:r>
      <w:r w:rsidR="002F03EA" w:rsidRPr="00FC112D">
        <w:rPr>
          <w:rFonts w:asciiTheme="majorHAnsi" w:hAnsiTheme="majorHAnsi" w:cstheme="minorHAnsi"/>
          <w:color w:val="000000"/>
          <w:sz w:val="22"/>
          <w:szCs w:val="22"/>
        </w:rPr>
        <w:t>§ </w:t>
      </w:r>
      <w:r w:rsidR="002F03EA">
        <w:rPr>
          <w:rFonts w:asciiTheme="majorHAnsi" w:hAnsiTheme="majorHAnsi" w:cstheme="minorHAnsi"/>
          <w:color w:val="000000"/>
          <w:sz w:val="22"/>
          <w:szCs w:val="22"/>
        </w:rPr>
        <w:t>9</w:t>
      </w:r>
      <w:r w:rsidR="002F03EA"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 niniejszej umowy</w:t>
      </w:r>
      <w:r w:rsidR="002F03EA">
        <w:rPr>
          <w:rFonts w:asciiTheme="majorHAnsi" w:hAnsiTheme="majorHAnsi" w:cstheme="minorHAnsi"/>
          <w:color w:val="000000"/>
          <w:sz w:val="22"/>
          <w:szCs w:val="22"/>
        </w:rPr>
        <w:t xml:space="preserve">. </w:t>
      </w:r>
      <w:r w:rsidR="00111E45"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W takim przypadku stosuje się odpowiednio postanowienia § </w:t>
      </w:r>
      <w:r w:rsidR="00512B67" w:rsidRPr="00FC112D">
        <w:rPr>
          <w:rFonts w:asciiTheme="majorHAnsi" w:hAnsiTheme="majorHAnsi" w:cstheme="minorHAnsi"/>
          <w:color w:val="000000"/>
          <w:sz w:val="22"/>
          <w:szCs w:val="22"/>
        </w:rPr>
        <w:t>11</w:t>
      </w:r>
      <w:r w:rsidR="00111E45"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 ust. </w:t>
      </w:r>
      <w:r w:rsidR="00512B67" w:rsidRPr="00FC112D">
        <w:rPr>
          <w:rFonts w:asciiTheme="majorHAnsi" w:hAnsiTheme="majorHAnsi" w:cstheme="minorHAnsi"/>
          <w:color w:val="000000"/>
          <w:sz w:val="22"/>
          <w:szCs w:val="22"/>
        </w:rPr>
        <w:t>7</w:t>
      </w:r>
      <w:r w:rsidR="00111E45"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, z tym zastrzeżeniem, iż za datę przerwania </w:t>
      </w:r>
      <w:r w:rsidR="00111E45" w:rsidRPr="00111185">
        <w:rPr>
          <w:rFonts w:asciiTheme="majorHAnsi" w:hAnsiTheme="majorHAnsi" w:cstheme="minorHAnsi"/>
          <w:sz w:val="22"/>
          <w:szCs w:val="22"/>
        </w:rPr>
        <w:t>czynności PCBC uzna</w:t>
      </w:r>
      <w:r w:rsidR="00011D2E" w:rsidRPr="00111185">
        <w:rPr>
          <w:rFonts w:asciiTheme="majorHAnsi" w:hAnsiTheme="majorHAnsi" w:cstheme="minorHAnsi"/>
          <w:sz w:val="22"/>
          <w:szCs w:val="22"/>
        </w:rPr>
        <w:t>je się datę wydania ww. decyzji;</w:t>
      </w:r>
    </w:p>
    <w:p w14:paraId="1E042354" w14:textId="354E8C65" w:rsidR="00F9496C" w:rsidRPr="00F9496C" w:rsidRDefault="00655579" w:rsidP="00DF75E4">
      <w:pPr>
        <w:widowControl w:val="0"/>
        <w:numPr>
          <w:ilvl w:val="1"/>
          <w:numId w:val="4"/>
        </w:numPr>
        <w:tabs>
          <w:tab w:val="clear" w:pos="390"/>
          <w:tab w:val="num" w:pos="1418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111185">
        <w:rPr>
          <w:rFonts w:asciiTheme="majorHAnsi" w:hAnsiTheme="majorHAnsi" w:cstheme="majorHAnsi"/>
          <w:bCs/>
          <w:sz w:val="22"/>
          <w:szCs w:val="22"/>
        </w:rPr>
        <w:t>PCBC</w:t>
      </w:r>
      <w:r w:rsidR="00351773" w:rsidRPr="00111185">
        <w:rPr>
          <w:rFonts w:asciiTheme="majorHAnsi" w:hAnsiTheme="majorHAnsi" w:cstheme="majorHAnsi"/>
          <w:bCs/>
          <w:sz w:val="22"/>
          <w:szCs w:val="22"/>
        </w:rPr>
        <w:t xml:space="preserve"> po uprzednim pisemnym zawiadomieniu </w:t>
      </w:r>
      <w:r w:rsidR="00B67374" w:rsidRPr="00111185">
        <w:rPr>
          <w:rFonts w:asciiTheme="majorHAnsi" w:hAnsiTheme="majorHAnsi" w:cstheme="majorHAnsi"/>
          <w:bCs/>
          <w:sz w:val="22"/>
          <w:szCs w:val="22"/>
        </w:rPr>
        <w:t>Producent</w:t>
      </w:r>
      <w:r w:rsidR="00351773" w:rsidRPr="00111185">
        <w:rPr>
          <w:rFonts w:asciiTheme="majorHAnsi" w:hAnsiTheme="majorHAnsi" w:cstheme="majorHAnsi"/>
          <w:bCs/>
          <w:sz w:val="22"/>
          <w:szCs w:val="22"/>
        </w:rPr>
        <w:t>a</w:t>
      </w:r>
      <w:r w:rsidR="00F9496C" w:rsidRPr="00111185">
        <w:rPr>
          <w:rFonts w:asciiTheme="majorHAnsi" w:hAnsiTheme="majorHAnsi" w:cstheme="majorHAnsi"/>
          <w:bCs/>
          <w:sz w:val="22"/>
          <w:szCs w:val="22"/>
        </w:rPr>
        <w:t>,</w:t>
      </w:r>
      <w:r w:rsidRPr="00111185">
        <w:rPr>
          <w:rFonts w:asciiTheme="majorHAnsi" w:hAnsiTheme="majorHAnsi" w:cstheme="majorHAnsi"/>
          <w:bCs/>
          <w:sz w:val="22"/>
          <w:szCs w:val="22"/>
        </w:rPr>
        <w:t xml:space="preserve"> ma prawo do zawieszenia lub cofnięcia </w:t>
      </w:r>
      <w:r w:rsidR="009078B3" w:rsidRPr="00111185">
        <w:rPr>
          <w:rFonts w:asciiTheme="majorHAnsi" w:hAnsiTheme="majorHAnsi" w:cstheme="majorHAnsi"/>
          <w:bCs/>
          <w:sz w:val="22"/>
          <w:szCs w:val="22"/>
        </w:rPr>
        <w:t>C</w:t>
      </w:r>
      <w:r w:rsidRPr="00111185">
        <w:rPr>
          <w:rFonts w:asciiTheme="majorHAnsi" w:hAnsiTheme="majorHAnsi" w:cstheme="majorHAnsi"/>
          <w:bCs/>
          <w:sz w:val="22"/>
          <w:szCs w:val="22"/>
        </w:rPr>
        <w:t>ertyfikatu w przypadkach określonych</w:t>
      </w:r>
      <w:r w:rsidRPr="00111185">
        <w:rPr>
          <w:rFonts w:asciiTheme="majorHAnsi" w:hAnsiTheme="majorHAnsi" w:cstheme="majorHAnsi"/>
          <w:spacing w:val="-4"/>
          <w:sz w:val="22"/>
          <w:szCs w:val="22"/>
        </w:rPr>
        <w:t xml:space="preserve"> w </w:t>
      </w:r>
      <w:r w:rsidR="00B36A4C" w:rsidRPr="00111185">
        <w:rPr>
          <w:rFonts w:asciiTheme="majorHAnsi" w:hAnsiTheme="majorHAnsi" w:cstheme="majorHAnsi"/>
          <w:sz w:val="22"/>
          <w:szCs w:val="22"/>
        </w:rPr>
        <w:t xml:space="preserve">§ 8 </w:t>
      </w:r>
      <w:r w:rsidR="009078B3" w:rsidRPr="00111185">
        <w:rPr>
          <w:rFonts w:asciiTheme="majorHAnsi" w:hAnsiTheme="majorHAnsi" w:cstheme="majorHAnsi"/>
          <w:sz w:val="22"/>
          <w:szCs w:val="22"/>
        </w:rPr>
        <w:t xml:space="preserve">ust. 1 </w:t>
      </w:r>
      <w:r w:rsidR="00B36A4C" w:rsidRPr="00111185">
        <w:rPr>
          <w:rFonts w:asciiTheme="majorHAnsi" w:hAnsiTheme="majorHAnsi" w:cstheme="majorHAnsi"/>
          <w:sz w:val="22"/>
          <w:szCs w:val="22"/>
        </w:rPr>
        <w:t>p</w:t>
      </w:r>
      <w:r w:rsidR="00662E61" w:rsidRPr="00111185">
        <w:rPr>
          <w:rFonts w:asciiTheme="majorHAnsi" w:hAnsiTheme="majorHAnsi" w:cstheme="majorHAnsi"/>
          <w:sz w:val="22"/>
          <w:szCs w:val="22"/>
        </w:rPr>
        <w:t>kt</w:t>
      </w:r>
      <w:r w:rsidR="00B21EA4" w:rsidRPr="00111185">
        <w:rPr>
          <w:rFonts w:asciiTheme="majorHAnsi" w:hAnsiTheme="majorHAnsi" w:cstheme="majorHAnsi"/>
          <w:sz w:val="22"/>
          <w:szCs w:val="22"/>
        </w:rPr>
        <w:t xml:space="preserve"> 1.</w:t>
      </w:r>
      <w:r w:rsidR="00351773" w:rsidRPr="00111185">
        <w:rPr>
          <w:rFonts w:asciiTheme="majorHAnsi" w:hAnsiTheme="majorHAnsi" w:cstheme="majorHAnsi"/>
          <w:sz w:val="22"/>
          <w:szCs w:val="22"/>
        </w:rPr>
        <w:t>1</w:t>
      </w:r>
      <w:r w:rsidR="00B21EA4" w:rsidRPr="00111185">
        <w:rPr>
          <w:rFonts w:asciiTheme="majorHAnsi" w:hAnsiTheme="majorHAnsi" w:cstheme="majorHAnsi"/>
          <w:sz w:val="22"/>
          <w:szCs w:val="22"/>
        </w:rPr>
        <w:t xml:space="preserve"> i</w:t>
      </w:r>
      <w:r w:rsidR="00C016C7" w:rsidRPr="00111185">
        <w:rPr>
          <w:rFonts w:asciiTheme="majorHAnsi" w:hAnsiTheme="majorHAnsi" w:cstheme="majorHAnsi"/>
          <w:sz w:val="22"/>
          <w:szCs w:val="22"/>
        </w:rPr>
        <w:t xml:space="preserve"> </w:t>
      </w:r>
      <w:r w:rsidR="00DF75E4" w:rsidRPr="00111185">
        <w:rPr>
          <w:rFonts w:asciiTheme="majorHAnsi" w:hAnsiTheme="majorHAnsi" w:cstheme="majorHAnsi"/>
          <w:sz w:val="22"/>
          <w:szCs w:val="22"/>
        </w:rPr>
        <w:t xml:space="preserve">pkt </w:t>
      </w:r>
      <w:r w:rsidR="00C016C7" w:rsidRPr="00111185">
        <w:rPr>
          <w:rFonts w:asciiTheme="majorHAnsi" w:hAnsiTheme="majorHAnsi" w:cstheme="majorHAnsi"/>
          <w:sz w:val="22"/>
          <w:szCs w:val="22"/>
        </w:rPr>
        <w:t>1.</w:t>
      </w:r>
      <w:r w:rsidR="00F3245D" w:rsidRPr="00111185">
        <w:rPr>
          <w:rFonts w:asciiTheme="majorHAnsi" w:hAnsiTheme="majorHAnsi" w:cstheme="majorHAnsi"/>
          <w:sz w:val="22"/>
          <w:szCs w:val="22"/>
        </w:rPr>
        <w:t>3</w:t>
      </w:r>
      <w:r w:rsidR="001158E9" w:rsidRPr="00111185">
        <w:rPr>
          <w:rFonts w:asciiTheme="majorHAnsi" w:hAnsiTheme="majorHAnsi" w:cstheme="majorHAnsi"/>
          <w:sz w:val="22"/>
          <w:szCs w:val="22"/>
        </w:rPr>
        <w:t xml:space="preserve">, a ponadto </w:t>
      </w:r>
      <w:r w:rsidR="00F57076" w:rsidRPr="00111185">
        <w:rPr>
          <w:rFonts w:asciiTheme="majorHAnsi" w:hAnsiTheme="majorHAnsi" w:cstheme="majorHAnsi"/>
          <w:sz w:val="22"/>
          <w:szCs w:val="22"/>
        </w:rPr>
        <w:br/>
      </w:r>
      <w:r w:rsidR="001158E9" w:rsidRPr="00111185">
        <w:rPr>
          <w:rFonts w:asciiTheme="majorHAnsi" w:hAnsiTheme="majorHAnsi" w:cstheme="majorHAnsi"/>
          <w:sz w:val="22"/>
          <w:szCs w:val="22"/>
        </w:rPr>
        <w:t xml:space="preserve">w </w:t>
      </w:r>
      <w:r w:rsidR="001158E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uzasadnionych przypadkach</w:t>
      </w:r>
      <w:r w:rsidR="0035177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o których </w:t>
      </w:r>
      <w:r w:rsidR="00DF75E4">
        <w:rPr>
          <w:rFonts w:asciiTheme="majorHAnsi" w:hAnsiTheme="majorHAnsi" w:cstheme="majorHAnsi"/>
          <w:color w:val="000000" w:themeColor="text1"/>
          <w:sz w:val="22"/>
          <w:szCs w:val="22"/>
        </w:rPr>
        <w:t>PCBC</w:t>
      </w:r>
      <w:r w:rsidR="00DF75E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5177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zawiadamia uprzednio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35177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 ze wskazaniem trybu działania i koniecznych działaniach korygujących -</w:t>
      </w:r>
      <w:r w:rsidR="001158E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zmieniać,</w:t>
      </w:r>
      <w:r w:rsidR="008814C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3245D">
        <w:rPr>
          <w:rFonts w:asciiTheme="majorHAnsi" w:hAnsiTheme="majorHAnsi" w:cstheme="majorHAnsi"/>
          <w:color w:val="000000" w:themeColor="text1"/>
          <w:sz w:val="22"/>
          <w:szCs w:val="22"/>
        </w:rPr>
        <w:t>ograniczać</w:t>
      </w:r>
      <w:r w:rsidR="001158E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078B3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C</w:t>
      </w:r>
      <w:r w:rsidR="001158E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ertyfikaty.</w:t>
      </w:r>
      <w:r w:rsidR="005B5EB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3D2F712" w14:textId="6BE4BD9E" w:rsidR="00655579" w:rsidRPr="00CE2931" w:rsidRDefault="003A25CC" w:rsidP="00F9496C">
      <w:pPr>
        <w:widowControl w:val="0"/>
        <w:spacing w:beforeLines="20" w:before="48" w:afterLines="20" w:after="48"/>
        <w:ind w:left="1276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</w:t>
      </w:r>
      <w:r w:rsidR="0065557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przypadku</w:t>
      </w:r>
      <w:r w:rsidR="00655579"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65557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zawieszenia </w:t>
      </w:r>
      <w:r w:rsidR="009078B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</w:t>
      </w:r>
      <w:r w:rsidR="0065557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ertyfikatu, PCBC wyznaczy warunki, które muszą zostać spełnione, aby </w:t>
      </w:r>
      <w:r w:rsidR="009078B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</w:t>
      </w:r>
      <w:r w:rsidR="0065557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ertyfikat został przywrócony. Przed końcem okresu zawieszenia zostanie p</w:t>
      </w:r>
      <w:r w:rsidR="000D12D8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rzeprowadzona weryfikacja, która</w:t>
      </w:r>
      <w:r w:rsidR="0065557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wykaże czy warunki przywrócenia </w:t>
      </w:r>
      <w:r w:rsidR="009078B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</w:t>
      </w:r>
      <w:r w:rsidR="0065557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ertyfikatu zostały spełnione. Po spełnieniu przedmiotowych warunków, zawieszenie zostanie uchylone, </w:t>
      </w:r>
      <w:r w:rsidR="00F9496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br/>
      </w:r>
      <w:r w:rsidR="0065557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="0065557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zostanie poinformowany o odwieszeniu </w:t>
      </w:r>
      <w:r w:rsidR="00D77AE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</w:t>
      </w:r>
      <w:r w:rsidR="0065557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ertyfikatu. Jeżeli warunki nie zostaną spełnion</w:t>
      </w:r>
      <w:r w:rsidR="00C016C7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e, </w:t>
      </w:r>
      <w:r w:rsidR="00D77AE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</w:t>
      </w:r>
      <w:r w:rsidR="00C016C7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ertyfikat zostanie cofnięty;</w:t>
      </w:r>
      <w:r w:rsidR="0065557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</w:p>
    <w:p w14:paraId="6F5D4414" w14:textId="1DCD2067" w:rsidR="00655579" w:rsidRPr="00CE2931" w:rsidRDefault="00655579" w:rsidP="00DF75E4">
      <w:pPr>
        <w:widowControl w:val="0"/>
        <w:numPr>
          <w:ilvl w:val="1"/>
          <w:numId w:val="4"/>
        </w:numPr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ma prawo dokonywać </w:t>
      </w:r>
      <w:proofErr w:type="spellStart"/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auditów</w:t>
      </w:r>
      <w:proofErr w:type="spellEnd"/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nadzoru</w:t>
      </w:r>
      <w:r w:rsidR="0017165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D78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przypadku oceny zgodności prowadzonej </w:t>
      </w:r>
      <w:r w:rsidR="00F9496C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3D78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module D1 </w:t>
      </w:r>
      <w:r w:rsidR="0017165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(jeśli zasadne)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o których mowa w </w:t>
      </w:r>
      <w:r w:rsidR="003168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ust. 2 </w:t>
      </w:r>
      <w:r w:rsidR="00662E6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pkt</w:t>
      </w:r>
      <w:r w:rsidR="00B36A4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2.</w:t>
      </w:r>
      <w:r w:rsidR="00B44802">
        <w:rPr>
          <w:rFonts w:asciiTheme="majorHAnsi" w:hAnsiTheme="majorHAnsi" w:cstheme="majorHAnsi"/>
          <w:color w:val="000000" w:themeColor="text1"/>
          <w:sz w:val="22"/>
          <w:szCs w:val="22"/>
        </w:rPr>
        <w:t>6</w:t>
      </w:r>
      <w:r w:rsidR="00662E6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poniżej</w:t>
      </w:r>
      <w:r w:rsidR="00B36A4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z</w:t>
      </w:r>
      <w:r w:rsidR="005B5EB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B36A4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częstością </w:t>
      </w:r>
      <w:r w:rsidR="003D78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 najmniej </w:t>
      </w:r>
      <w:r w:rsidR="00B36A4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raz w roku</w:t>
      </w:r>
      <w:r w:rsidR="003D78E7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17165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36A4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terminie uzgodnionym z </w:t>
      </w:r>
      <w:r w:rsidR="00B67374" w:rsidRPr="00CE2931">
        <w:rPr>
          <w:rFonts w:asciiTheme="majorHAnsi" w:hAnsiTheme="majorHAnsi" w:cstheme="majorHAnsi"/>
          <w:sz w:val="22"/>
          <w:szCs w:val="22"/>
        </w:rPr>
        <w:t>Producent</w:t>
      </w:r>
      <w:r w:rsidR="00C016C7" w:rsidRPr="00CE2931">
        <w:rPr>
          <w:rFonts w:asciiTheme="majorHAnsi" w:hAnsiTheme="majorHAnsi" w:cstheme="majorHAnsi"/>
          <w:sz w:val="22"/>
          <w:szCs w:val="22"/>
        </w:rPr>
        <w:t>em;</w:t>
      </w:r>
      <w:r w:rsidRPr="00CE29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09AB99" w14:textId="7BBB414A" w:rsidR="00655579" w:rsidRPr="00CE2931" w:rsidRDefault="00655579" w:rsidP="00DF75E4">
      <w:pPr>
        <w:widowControl w:val="0"/>
        <w:numPr>
          <w:ilvl w:val="1"/>
          <w:numId w:val="4"/>
        </w:numPr>
        <w:tabs>
          <w:tab w:val="clear" w:pos="390"/>
          <w:tab w:val="num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E2931">
        <w:rPr>
          <w:rFonts w:asciiTheme="majorHAnsi" w:hAnsiTheme="majorHAnsi" w:cstheme="majorHAnsi"/>
          <w:sz w:val="22"/>
          <w:szCs w:val="22"/>
        </w:rPr>
        <w:t>PCBC ma prawo dokonywać niezapowiedzianych</w:t>
      </w:r>
      <w:r w:rsidR="00171654" w:rsidRPr="00CE2931">
        <w:rPr>
          <w:rFonts w:asciiTheme="majorHAnsi" w:hAnsiTheme="majorHAnsi" w:cstheme="majorHAnsi"/>
          <w:sz w:val="22"/>
          <w:szCs w:val="22"/>
        </w:rPr>
        <w:t xml:space="preserve"> wizyt</w:t>
      </w:r>
      <w:r w:rsidR="009504FE" w:rsidRPr="00CE2931">
        <w:rPr>
          <w:rFonts w:asciiTheme="majorHAnsi" w:hAnsiTheme="majorHAnsi" w:cstheme="majorHAnsi"/>
          <w:sz w:val="22"/>
          <w:szCs w:val="22"/>
        </w:rPr>
        <w:t>/</w:t>
      </w:r>
      <w:r w:rsidR="00321BE6">
        <w:rPr>
          <w:rFonts w:asciiTheme="majorHAnsi" w:hAnsiTheme="majorHAnsi" w:cstheme="majorHAnsi"/>
          <w:sz w:val="22"/>
          <w:szCs w:val="22"/>
        </w:rPr>
        <w:t>nie</w:t>
      </w:r>
      <w:r w:rsidR="009504FE" w:rsidRPr="00CE2931">
        <w:rPr>
          <w:rFonts w:asciiTheme="majorHAnsi" w:hAnsiTheme="majorHAnsi" w:cstheme="majorHAnsi"/>
          <w:sz w:val="22"/>
          <w:szCs w:val="22"/>
        </w:rPr>
        <w:t>zapowiedzianych</w:t>
      </w:r>
      <w:r w:rsidRPr="00CE293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2931">
        <w:rPr>
          <w:rFonts w:asciiTheme="majorHAnsi" w:hAnsiTheme="majorHAnsi" w:cstheme="majorHAnsi"/>
          <w:sz w:val="22"/>
          <w:szCs w:val="22"/>
        </w:rPr>
        <w:t>auditów</w:t>
      </w:r>
      <w:proofErr w:type="spellEnd"/>
      <w:r w:rsidRPr="00CE2931">
        <w:rPr>
          <w:rFonts w:asciiTheme="majorHAnsi" w:hAnsiTheme="majorHAnsi" w:cstheme="majorHAnsi"/>
          <w:sz w:val="22"/>
          <w:szCs w:val="22"/>
        </w:rPr>
        <w:t xml:space="preserve"> nadzor</w:t>
      </w:r>
      <w:r w:rsidR="005637CF" w:rsidRPr="00CE2931">
        <w:rPr>
          <w:rFonts w:asciiTheme="majorHAnsi" w:hAnsiTheme="majorHAnsi" w:cstheme="majorHAnsi"/>
          <w:sz w:val="22"/>
          <w:szCs w:val="22"/>
        </w:rPr>
        <w:t>u</w:t>
      </w:r>
      <w:r w:rsidR="009504FE"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="00A44C3D">
        <w:rPr>
          <w:rFonts w:asciiTheme="majorHAnsi" w:hAnsiTheme="majorHAnsi" w:cstheme="majorHAnsi"/>
          <w:sz w:val="22"/>
          <w:szCs w:val="22"/>
        </w:rPr>
        <w:br/>
      </w:r>
      <w:r w:rsidR="005637CF" w:rsidRPr="00CE2931">
        <w:rPr>
          <w:rFonts w:asciiTheme="majorHAnsi" w:hAnsiTheme="majorHAnsi" w:cstheme="majorHAnsi"/>
          <w:sz w:val="22"/>
          <w:szCs w:val="22"/>
        </w:rPr>
        <w:t xml:space="preserve">w miejscu </w:t>
      </w:r>
      <w:r w:rsidR="00924981" w:rsidRPr="00CE2931">
        <w:rPr>
          <w:rFonts w:asciiTheme="majorHAnsi" w:hAnsiTheme="majorHAnsi" w:cstheme="majorHAnsi"/>
          <w:sz w:val="22"/>
          <w:szCs w:val="22"/>
        </w:rPr>
        <w:t>produkcji/magazynowania</w:t>
      </w:r>
      <w:r w:rsidR="00B468FD"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="00B67374" w:rsidRPr="00CE2931">
        <w:rPr>
          <w:rFonts w:asciiTheme="majorHAnsi" w:hAnsiTheme="majorHAnsi" w:cstheme="majorHAnsi"/>
          <w:sz w:val="22"/>
          <w:szCs w:val="22"/>
        </w:rPr>
        <w:t>produktu</w:t>
      </w:r>
      <w:r w:rsidR="00171654" w:rsidRPr="00CE2931">
        <w:rPr>
          <w:rFonts w:asciiTheme="majorHAnsi" w:hAnsiTheme="majorHAnsi" w:cstheme="majorHAnsi"/>
          <w:sz w:val="22"/>
          <w:szCs w:val="22"/>
        </w:rPr>
        <w:t xml:space="preserve"> nawozowego UE</w:t>
      </w:r>
      <w:r w:rsidR="00F3245D">
        <w:rPr>
          <w:rFonts w:asciiTheme="majorHAnsi" w:hAnsiTheme="majorHAnsi" w:cstheme="majorHAnsi"/>
          <w:sz w:val="22"/>
          <w:szCs w:val="22"/>
        </w:rPr>
        <w:t>,</w:t>
      </w:r>
      <w:r w:rsidR="003D78E7">
        <w:rPr>
          <w:rFonts w:asciiTheme="majorHAnsi" w:hAnsiTheme="majorHAnsi" w:cstheme="majorHAnsi"/>
          <w:sz w:val="22"/>
          <w:szCs w:val="22"/>
        </w:rPr>
        <w:t xml:space="preserve"> </w:t>
      </w:r>
      <w:r w:rsidR="003D78E7">
        <w:rPr>
          <w:rFonts w:asciiTheme="majorHAnsi" w:hAnsiTheme="majorHAnsi" w:cstheme="majorHAnsi"/>
          <w:color w:val="000000" w:themeColor="text1"/>
          <w:sz w:val="22"/>
          <w:szCs w:val="22"/>
        </w:rPr>
        <w:t>w przypadku oceny zgodności prowadzonej w module D1</w:t>
      </w:r>
      <w:r w:rsidR="00011D2E">
        <w:rPr>
          <w:rFonts w:asciiTheme="majorHAnsi" w:hAnsiTheme="majorHAnsi" w:cstheme="majorHAnsi"/>
          <w:sz w:val="22"/>
          <w:szCs w:val="22"/>
        </w:rPr>
        <w:t>;</w:t>
      </w:r>
    </w:p>
    <w:p w14:paraId="560901FE" w14:textId="76A59D06" w:rsidR="00655579" w:rsidRPr="00CE2931" w:rsidRDefault="00655579" w:rsidP="00FC112D">
      <w:pPr>
        <w:widowControl w:val="0"/>
        <w:numPr>
          <w:ilvl w:val="1"/>
          <w:numId w:val="4"/>
        </w:numPr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Cs/>
          <w:sz w:val="22"/>
          <w:szCs w:val="22"/>
        </w:rPr>
        <w:t xml:space="preserve">PCBC może zlecić wykonanie części usług związanych z przeprowadzeniem oceny zgodności </w:t>
      </w:r>
      <w:r w:rsidR="00BB7DCD" w:rsidRPr="00CE2931">
        <w:rPr>
          <w:rFonts w:asciiTheme="majorHAnsi" w:hAnsiTheme="majorHAnsi" w:cstheme="majorHAnsi"/>
          <w:bCs/>
          <w:sz w:val="22"/>
          <w:szCs w:val="22"/>
        </w:rPr>
        <w:t>ekspertowi</w:t>
      </w:r>
      <w:r w:rsidR="009504FE" w:rsidRPr="00CE2931">
        <w:rPr>
          <w:rFonts w:asciiTheme="majorHAnsi" w:hAnsiTheme="majorHAnsi" w:cstheme="majorHAnsi"/>
          <w:bCs/>
          <w:sz w:val="22"/>
          <w:szCs w:val="22"/>
        </w:rPr>
        <w:t>/auditorowi</w:t>
      </w:r>
      <w:r w:rsidRPr="00CE2931">
        <w:rPr>
          <w:rFonts w:asciiTheme="majorHAnsi" w:hAnsiTheme="majorHAnsi" w:cstheme="majorHAnsi"/>
          <w:bCs/>
          <w:sz w:val="22"/>
          <w:szCs w:val="22"/>
        </w:rPr>
        <w:t>,</w:t>
      </w:r>
      <w:r w:rsidR="00234390" w:rsidRPr="00234390">
        <w:t xml:space="preserve"> </w:t>
      </w:r>
      <w:r w:rsidR="00234390" w:rsidRPr="00234390">
        <w:rPr>
          <w:rFonts w:asciiTheme="majorHAnsi" w:hAnsiTheme="majorHAnsi" w:cstheme="majorHAnsi"/>
          <w:bCs/>
          <w:sz w:val="22"/>
          <w:szCs w:val="22"/>
        </w:rPr>
        <w:t xml:space="preserve">na co Producent wyraża zgodę. </w:t>
      </w:r>
      <w:r w:rsidR="00B67374" w:rsidRPr="00CE2931">
        <w:rPr>
          <w:rFonts w:asciiTheme="majorHAnsi" w:hAnsiTheme="majorHAnsi" w:cstheme="majorHAnsi"/>
          <w:bCs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bCs/>
          <w:sz w:val="22"/>
          <w:szCs w:val="22"/>
        </w:rPr>
        <w:t xml:space="preserve"> upoważnia PCBC do ujawnienia </w:t>
      </w:r>
      <w:r w:rsidR="00BB7DCD" w:rsidRPr="00CE2931">
        <w:rPr>
          <w:rFonts w:asciiTheme="majorHAnsi" w:hAnsiTheme="majorHAnsi" w:cstheme="majorHAnsi"/>
          <w:bCs/>
          <w:sz w:val="22"/>
          <w:szCs w:val="22"/>
        </w:rPr>
        <w:t xml:space="preserve">ekspertowi </w:t>
      </w:r>
      <w:r w:rsidR="00C13801" w:rsidRPr="00CE2931">
        <w:rPr>
          <w:rFonts w:asciiTheme="majorHAnsi" w:hAnsiTheme="majorHAnsi" w:cstheme="majorHAnsi"/>
          <w:bCs/>
          <w:sz w:val="22"/>
          <w:szCs w:val="22"/>
        </w:rPr>
        <w:t>/auditorowi</w:t>
      </w:r>
      <w:r w:rsidRPr="00CE2931">
        <w:rPr>
          <w:rFonts w:asciiTheme="majorHAnsi" w:hAnsiTheme="majorHAnsi" w:cstheme="majorHAnsi"/>
          <w:bCs/>
          <w:sz w:val="22"/>
          <w:szCs w:val="22"/>
        </w:rPr>
        <w:t xml:space="preserve"> informacji niezbędnych do realizacji usługi, wyłącznie </w:t>
      </w:r>
      <w:r w:rsidR="00D1734C">
        <w:rPr>
          <w:rFonts w:asciiTheme="majorHAnsi" w:hAnsiTheme="majorHAnsi" w:cstheme="majorHAnsi"/>
          <w:bCs/>
          <w:sz w:val="22"/>
          <w:szCs w:val="22"/>
        </w:rPr>
        <w:br/>
      </w:r>
      <w:r w:rsidRPr="00CE2931">
        <w:rPr>
          <w:rFonts w:asciiTheme="majorHAnsi" w:hAnsiTheme="majorHAnsi" w:cstheme="majorHAnsi"/>
          <w:bCs/>
          <w:sz w:val="22"/>
          <w:szCs w:val="22"/>
        </w:rPr>
        <w:t xml:space="preserve">w 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przypadku</w:t>
      </w:r>
      <w:r w:rsidR="00346C7A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,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gdy PCBC zawrze z </w:t>
      </w:r>
      <w:r w:rsidR="00BB7DCD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ekspertem</w:t>
      </w:r>
      <w:r w:rsidR="00C13801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/auditorem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umowę</w:t>
      </w:r>
      <w:r w:rsidR="00B36A4C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oraz otrzyma od </w:t>
      </w:r>
      <w:r w:rsidR="00BB7DCD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eksperta</w:t>
      </w:r>
      <w:r w:rsidR="009504FE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/auditor</w:t>
      </w:r>
      <w:r w:rsidR="00C13801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</w:t>
      </w:r>
      <w:r w:rsidR="00B36A4C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oświadczenie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 zachowaniu poufności, na mocy </w:t>
      </w:r>
      <w:r w:rsidR="00DF75E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które</w:t>
      </w:r>
      <w:r w:rsidR="00DF75E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go</w:t>
      </w:r>
      <w:r w:rsidR="00DF75E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BB7DCD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ekspert </w:t>
      </w:r>
      <w:r w:rsidR="009504FE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/auditor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zob</w:t>
      </w:r>
      <w:r w:rsidR="00B36A4C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owiązany będzie do zachowania w tajemnicy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informacji dotyczących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</w:t>
      </w:r>
      <w:r w:rsidR="007F1A0B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jego produktów lub jakiegokolwiek aspektu niniejszej </w:t>
      </w:r>
      <w:r w:rsidR="00DF75E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</w:t>
      </w:r>
      <w:r w:rsidR="00DF75E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mowy </w:t>
      </w:r>
      <w:r w:rsidR="007F1A0B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 kwestii związanych z jej realizacją. </w:t>
      </w:r>
      <w:r w:rsidR="004E1977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</w:t>
      </w:r>
      <w:r w:rsidR="007F1A0B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kspert/auditor jest zobowiązany do zachowania poufności względem uzyskanych informacji</w:t>
      </w:r>
      <w:r w:rsidR="00011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;</w:t>
      </w:r>
    </w:p>
    <w:p w14:paraId="329E5F51" w14:textId="4C9A5B86" w:rsidR="00655579" w:rsidRPr="00CE2931" w:rsidRDefault="00655579" w:rsidP="00FC112D">
      <w:pPr>
        <w:widowControl w:val="0"/>
        <w:numPr>
          <w:ilvl w:val="1"/>
          <w:numId w:val="4"/>
        </w:numPr>
        <w:tabs>
          <w:tab w:val="clear" w:pos="390"/>
        </w:tabs>
        <w:spacing w:beforeLines="20" w:before="48" w:afterLines="20" w:after="48"/>
        <w:ind w:left="1276" w:hanging="425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PCBC może powołać</w:t>
      </w:r>
      <w:r w:rsidR="009A1192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na każdym etapie obowiązywania niniejszej umowy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eksperta</w:t>
      </w:r>
      <w:r w:rsidR="00F3245D" w:rsidRPr="00CE2931" w:rsidDel="00F3245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F10115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/auditora</w:t>
      </w:r>
      <w:r w:rsidR="00F3245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/pracownika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do udziału w </w:t>
      </w:r>
      <w:proofErr w:type="spellStart"/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audicie</w:t>
      </w:r>
      <w:proofErr w:type="spellEnd"/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lub do oceny dokumentacji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produktu </w:t>
      </w:r>
      <w:r w:rsidR="00DF75E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nawozowego UE 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</w:t>
      </w:r>
      <w:r w:rsidR="009A1192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 tym przeprowadzenia analizy wstępnej oraz wszelkich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zgł</w:t>
      </w:r>
      <w:r w:rsidR="009A1192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oszonych zmian dotyczących</w:t>
      </w:r>
      <w:r w:rsidR="009504FE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produktu</w:t>
      </w:r>
      <w:r w:rsidR="00DF75E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nawozowego UE</w:t>
      </w:r>
      <w:r w:rsidR="009504FE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), jak również umożliwić udział w </w:t>
      </w:r>
      <w:proofErr w:type="spellStart"/>
      <w:r w:rsidR="009504FE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audicie</w:t>
      </w:r>
      <w:proofErr w:type="spellEnd"/>
      <w:r w:rsidR="009504FE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obserwatorów z</w:t>
      </w:r>
      <w:r w:rsidR="00EC1933" w:rsidRPr="00EC193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jednostki nadzoru (PCA), z organów administracji </w:t>
      </w:r>
      <w:r w:rsidR="00011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</w:t>
      </w:r>
      <w:r w:rsidR="00011D2E" w:rsidRPr="00EC193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aństwa</w:t>
      </w:r>
      <w:r w:rsidR="00EC1933" w:rsidRPr="00EC193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/organów administracji UE</w:t>
      </w:r>
      <w:r w:rsidR="009504FE" w:rsidRPr="00CE2931">
        <w:rPr>
          <w:rFonts w:asciiTheme="majorHAnsi" w:hAnsiTheme="majorHAnsi" w:cstheme="majorHAnsi"/>
          <w:bCs/>
          <w:sz w:val="22"/>
          <w:szCs w:val="22"/>
        </w:rPr>
        <w:t>, pracowników PCBC.</w:t>
      </w:r>
      <w:r w:rsidR="00900815" w:rsidRPr="00CE293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00815" w:rsidRPr="00CE2931">
        <w:rPr>
          <w:rFonts w:asciiTheme="majorHAnsi" w:hAnsiTheme="majorHAnsi" w:cstheme="majorHAnsi"/>
          <w:sz w:val="22"/>
          <w:szCs w:val="22"/>
        </w:rPr>
        <w:t xml:space="preserve">Pracownicy </w:t>
      </w:r>
      <w:r w:rsidR="0090081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lub współpracownicy PCBC (z wyłączeniem obserwatorów z organów administracji Państwa/organów administracji UE) zobowiązani są przed przystąpieniem do wykonywania czynności podpisać oświadczenie o zachowaniu poufności </w:t>
      </w:r>
      <w:r w:rsidR="002924B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</w:t>
      </w:r>
      <w:r w:rsidR="0090081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zakresem odpowiadając</w:t>
      </w:r>
      <w:r w:rsidR="002924B1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90081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m oświadczeniu wskazanemu w pkt 1.</w:t>
      </w:r>
      <w:r w:rsidR="00532D2F">
        <w:rPr>
          <w:rFonts w:asciiTheme="majorHAnsi" w:hAnsiTheme="majorHAnsi" w:cstheme="majorHAnsi"/>
          <w:color w:val="000000" w:themeColor="text1"/>
          <w:sz w:val="22"/>
          <w:szCs w:val="22"/>
        </w:rPr>
        <w:t>6</w:t>
      </w:r>
      <w:r w:rsidR="0090081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powyżej</w:t>
      </w:r>
      <w:r w:rsidR="00011D2E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00BB6B70" w14:textId="073F12B0" w:rsidR="00655579" w:rsidRPr="00CE2931" w:rsidRDefault="00655579" w:rsidP="00FC112D">
      <w:pPr>
        <w:widowControl w:val="0"/>
        <w:numPr>
          <w:ilvl w:val="1"/>
          <w:numId w:val="4"/>
        </w:numPr>
        <w:tabs>
          <w:tab w:val="clear" w:pos="390"/>
          <w:tab w:val="num" w:pos="1276"/>
        </w:tabs>
        <w:spacing w:beforeLines="20" w:before="48" w:afterLines="20" w:after="48"/>
        <w:ind w:left="1276" w:hanging="425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PCBC ma prawo</w:t>
      </w:r>
      <w:r w:rsidR="00662E61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w każdym momencie obowiązywania niniejszej umowy</w:t>
      </w:r>
      <w:r w:rsidR="00346C7A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do wezwania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="00BB7DCD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 do uzupełnienia</w:t>
      </w:r>
      <w:r w:rsidR="00DD6423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w oznaczonym terminie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dokumentac</w:t>
      </w:r>
      <w:r w:rsidR="00D239B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ji technicznej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produktu </w:t>
      </w:r>
      <w:r w:rsidR="0017165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nawozowego UE</w:t>
      </w:r>
      <w:r w:rsidR="00D239B9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odzwierciedlającej implementację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zmian w przepisach</w:t>
      </w:r>
      <w:r w:rsidR="00C016C7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prawnych, o ile takie wystąpią</w:t>
      </w:r>
      <w:r w:rsidR="007F1A0B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7F1A0B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W uzasadnionych przypadkach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="007F1A0B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ma prawo wnioskować do PCBC </w:t>
      </w:r>
      <w:r w:rsidR="00D173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br/>
      </w:r>
      <w:r w:rsidR="007F1A0B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o zmianę narzuconych terminów. Wniosek </w:t>
      </w:r>
      <w:r w:rsidR="00151AF6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ten musi zawierać uzasadnienie</w:t>
      </w:r>
      <w:r w:rsidR="00011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;</w:t>
      </w:r>
    </w:p>
    <w:p w14:paraId="31156654" w14:textId="0A1C8C94" w:rsidR="00655579" w:rsidRPr="00CE2931" w:rsidRDefault="00655579" w:rsidP="00FC112D">
      <w:pPr>
        <w:widowControl w:val="0"/>
        <w:numPr>
          <w:ilvl w:val="1"/>
          <w:numId w:val="4"/>
        </w:numPr>
        <w:tabs>
          <w:tab w:val="clear" w:pos="390"/>
          <w:tab w:val="num" w:pos="1276"/>
        </w:tabs>
        <w:spacing w:beforeLines="20" w:before="48" w:afterLines="20" w:after="48"/>
        <w:ind w:left="1276" w:hanging="425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PCBC ma prawo</w:t>
      </w:r>
      <w:r w:rsidR="00662E6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62E61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 każdym momencie obowiązywania niniejszej umowy</w:t>
      </w:r>
      <w:r w:rsidR="00346C7A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do wezwania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="00BB7DCD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 do uzupełnienia</w:t>
      </w:r>
      <w:r w:rsidR="00DD6423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w oznaczonym terminie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bCs/>
          <w:sz w:val="22"/>
          <w:szCs w:val="22"/>
        </w:rPr>
        <w:t xml:space="preserve">dokumentacji technicznej </w:t>
      </w:r>
      <w:r w:rsidR="00B67374" w:rsidRPr="00CE2931">
        <w:rPr>
          <w:rFonts w:asciiTheme="majorHAnsi" w:hAnsiTheme="majorHAnsi" w:cstheme="majorHAnsi"/>
          <w:bCs/>
          <w:sz w:val="22"/>
          <w:szCs w:val="22"/>
        </w:rPr>
        <w:t xml:space="preserve">produktu </w:t>
      </w:r>
      <w:r w:rsidR="0040675E" w:rsidRPr="00CE2931">
        <w:rPr>
          <w:rFonts w:asciiTheme="majorHAnsi" w:hAnsiTheme="majorHAnsi" w:cstheme="majorHAnsi"/>
          <w:bCs/>
          <w:sz w:val="22"/>
          <w:szCs w:val="22"/>
        </w:rPr>
        <w:t>nawozowego U</w:t>
      </w:r>
      <w:r w:rsidR="00171654" w:rsidRPr="00CE2931">
        <w:rPr>
          <w:rFonts w:asciiTheme="majorHAnsi" w:hAnsiTheme="majorHAnsi" w:cstheme="majorHAnsi"/>
          <w:bCs/>
          <w:sz w:val="22"/>
          <w:szCs w:val="22"/>
        </w:rPr>
        <w:t>E</w:t>
      </w:r>
      <w:r w:rsidR="0040675E" w:rsidRPr="00CE293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bCs/>
          <w:sz w:val="22"/>
          <w:szCs w:val="22"/>
        </w:rPr>
        <w:t xml:space="preserve">oraz </w:t>
      </w:r>
      <w:r w:rsidR="007F1A0B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do 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przedstawi</w:t>
      </w:r>
      <w:r w:rsidR="007F1A0B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ni</w:t>
      </w:r>
      <w:r w:rsidR="007F1A0B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wyników badań</w:t>
      </w:r>
      <w:r w:rsidR="00011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;</w:t>
      </w:r>
    </w:p>
    <w:p w14:paraId="1D0378AA" w14:textId="2E21EF39" w:rsidR="00DD6423" w:rsidRPr="00CE2931" w:rsidRDefault="00346C7A" w:rsidP="00FC112D">
      <w:pPr>
        <w:widowControl w:val="0"/>
        <w:numPr>
          <w:ilvl w:val="1"/>
          <w:numId w:val="4"/>
        </w:numPr>
        <w:tabs>
          <w:tab w:val="clear" w:pos="390"/>
        </w:tabs>
        <w:spacing w:beforeLines="20" w:before="48" w:afterLines="20" w:after="48"/>
        <w:ind w:left="1276" w:hanging="425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PCBC ma prawo w każdym momencie obowiązywania niniej</w:t>
      </w:r>
      <w:r w:rsidR="00BB7DCD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szej umowy do wezwania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="00BB7DCD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 do przedstawienia</w:t>
      </w:r>
      <w:r w:rsidR="00DD6423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w oznaczonym terminie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innych, aniżeli wskazanych w pkt 1.</w:t>
      </w:r>
      <w:r w:rsidR="00F3245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8</w:t>
      </w:r>
      <w:r w:rsidR="00DD6423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i pkt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1.</w:t>
      </w:r>
      <w:r w:rsidR="00F3245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9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dokumentów, danych i informacji koniecznych PCBC do realizacji przedmiotu niniejszej </w:t>
      </w:r>
      <w:r w:rsidR="00011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</w:t>
      </w:r>
      <w:r w:rsidR="00011D2E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mowy</w:t>
      </w:r>
      <w:r w:rsidR="00011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;</w:t>
      </w:r>
    </w:p>
    <w:p w14:paraId="2938D010" w14:textId="5785AD20" w:rsidR="00F10115" w:rsidRDefault="00DD6423" w:rsidP="00FC112D">
      <w:pPr>
        <w:widowControl w:val="0"/>
        <w:numPr>
          <w:ilvl w:val="1"/>
          <w:numId w:val="4"/>
        </w:numPr>
        <w:tabs>
          <w:tab w:val="clear" w:pos="390"/>
          <w:tab w:val="num" w:pos="1418"/>
        </w:tabs>
        <w:spacing w:beforeLines="20" w:before="48" w:afterLines="20" w:after="48"/>
        <w:ind w:left="1276" w:hanging="425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Wezwania PCBC skierowane do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a, o których mowa w pkt </w:t>
      </w:r>
      <w:r w:rsidR="00F3245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1.8, pkt 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1.9</w:t>
      </w:r>
      <w:r w:rsidR="00011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lub pkt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1.10 </w:t>
      </w:r>
      <w:r w:rsidR="00011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powyżej</w:t>
      </w:r>
      <w:r w:rsidR="00011D2E" w:rsidRPr="00C41B9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nie podlegają kwestionowaniu przez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</w:t>
      </w:r>
      <w:r w:rsidR="00D173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6A629703" w14:textId="061DACC7" w:rsidR="00011D2E" w:rsidRDefault="00F10115" w:rsidP="00D04F4F">
      <w:pPr>
        <w:widowControl w:val="0"/>
        <w:numPr>
          <w:ilvl w:val="1"/>
          <w:numId w:val="4"/>
        </w:numPr>
        <w:tabs>
          <w:tab w:val="clear" w:pos="390"/>
          <w:tab w:val="num" w:pos="1418"/>
        </w:tabs>
        <w:spacing w:beforeLines="20" w:before="48" w:afterLines="20" w:after="48"/>
        <w:ind w:left="1276" w:hanging="425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011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PCBC decyduje o wyborze ekspertów/auditorów/pracowników biorących udział </w:t>
      </w:r>
      <w:r w:rsidR="00D173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br/>
      </w:r>
      <w:r w:rsidRPr="00011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 czynnościach wykonywanych przez PCBC</w:t>
      </w:r>
      <w:r w:rsidR="00011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7B673B12" w14:textId="77777777" w:rsidR="005262A6" w:rsidRPr="00011D2E" w:rsidRDefault="005262A6" w:rsidP="00D04F4F">
      <w:pPr>
        <w:widowControl w:val="0"/>
        <w:spacing w:beforeLines="20" w:before="48" w:afterLines="20" w:after="48"/>
        <w:ind w:left="1276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42520981" w14:textId="4B1B6B16" w:rsidR="00655579" w:rsidRPr="00CE2931" w:rsidRDefault="00655579" w:rsidP="00D04F4F">
      <w:pPr>
        <w:pStyle w:val="Akapitzlist"/>
        <w:widowControl w:val="0"/>
        <w:numPr>
          <w:ilvl w:val="0"/>
          <w:numId w:val="25"/>
        </w:numPr>
        <w:spacing w:beforeLines="20" w:before="48" w:afterLines="20" w:after="48"/>
        <w:ind w:left="709" w:hanging="709"/>
        <w:contextualSpacing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Obowiązki PCBC:</w:t>
      </w:r>
    </w:p>
    <w:p w14:paraId="60436191" w14:textId="75E7F624" w:rsidR="00655579" w:rsidRPr="00CE2931" w:rsidRDefault="00655579" w:rsidP="00011D2E">
      <w:pPr>
        <w:widowControl w:val="0"/>
        <w:spacing w:beforeLines="20" w:before="48" w:afterLines="20" w:after="48"/>
        <w:ind w:left="567" w:firstLine="142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PCBC zobowiązuje się do:</w:t>
      </w:r>
    </w:p>
    <w:p w14:paraId="2DCACB6D" w14:textId="5DDE873E" w:rsidR="00060A34" w:rsidRPr="00D04F4F" w:rsidRDefault="00060A34" w:rsidP="00011D2E">
      <w:pPr>
        <w:widowControl w:val="0"/>
        <w:numPr>
          <w:ilvl w:val="1"/>
          <w:numId w:val="9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prowadzenia oceny zgodności zgodnie z </w:t>
      </w:r>
      <w:r w:rsidR="00532A04" w:rsidRPr="00532A04">
        <w:rPr>
          <w:rFonts w:asciiTheme="majorHAnsi" w:hAnsiTheme="majorHAnsi" w:cstheme="majorHAnsi"/>
          <w:color w:val="000000" w:themeColor="text1"/>
          <w:sz w:val="22"/>
          <w:szCs w:val="22"/>
        </w:rPr>
        <w:t>aktualnym brzmieniem przepisów</w:t>
      </w:r>
      <w:r w:rsidR="00532A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sz w:val="22"/>
          <w:szCs w:val="22"/>
        </w:rPr>
        <w:t>Rozporządzeni</w:t>
      </w:r>
      <w:r w:rsidR="00532A04">
        <w:rPr>
          <w:rFonts w:asciiTheme="majorHAnsi" w:hAnsiTheme="majorHAnsi" w:cstheme="majorHAnsi"/>
          <w:sz w:val="22"/>
          <w:szCs w:val="22"/>
        </w:rPr>
        <w:t>a</w:t>
      </w:r>
      <w:r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sz w:val="22"/>
          <w:szCs w:val="22"/>
        </w:rPr>
        <w:lastRenderedPageBreak/>
        <w:t>Parlamentu Europejskiego I Rady (UE) 2019/1009 z dnia 5 czerwca 2019 r.</w:t>
      </w:r>
      <w:r w:rsidR="00011D2E">
        <w:rPr>
          <w:rFonts w:asciiTheme="majorHAnsi" w:hAnsiTheme="majorHAnsi" w:cstheme="majorHAnsi"/>
          <w:sz w:val="22"/>
          <w:szCs w:val="22"/>
        </w:rPr>
        <w:t>;</w:t>
      </w:r>
    </w:p>
    <w:p w14:paraId="1402F15D" w14:textId="28849CD4" w:rsidR="00655579" w:rsidRPr="00011D2E" w:rsidRDefault="00655579" w:rsidP="00D04F4F">
      <w:pPr>
        <w:widowControl w:val="0"/>
        <w:numPr>
          <w:ilvl w:val="1"/>
          <w:numId w:val="9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zachowania tajemnicy i nieujawniania jakimkolwiek osobom </w:t>
      </w:r>
      <w:r w:rsidR="00662E61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>trzecim,</w:t>
      </w:r>
      <w:r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informacji uzyskanych </w:t>
      </w:r>
      <w:r w:rsidR="00251EC2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procesie oceny zgodności danego </w:t>
      </w:r>
      <w:r w:rsidR="00B67374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</w:t>
      </w:r>
      <w:r w:rsidR="00F3245D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nawozowego UE </w:t>
      </w:r>
      <w:r w:rsidR="007F1A0B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lub w związku z tym procesem lub realizacją niniejszej </w:t>
      </w:r>
      <w:r w:rsidR="00011D2E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011D2E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>mowy</w:t>
      </w:r>
      <w:r w:rsidR="007F1A0B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oraz do niewykorzystywania tych informacji </w:t>
      </w:r>
      <w:r w:rsidR="00D1734C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7F1A0B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jakikolwiek sposób inny aniżeli w celu wykonania niniejszej </w:t>
      </w:r>
      <w:r w:rsidR="00011D2E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011D2E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>mowy</w:t>
      </w:r>
      <w:r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7262F0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 zastrzeżeniem </w:t>
      </w:r>
      <w:r w:rsidR="00011D2E">
        <w:rPr>
          <w:rFonts w:asciiTheme="majorHAnsi" w:hAnsiTheme="majorHAnsi" w:cstheme="majorHAnsi"/>
          <w:color w:val="000000" w:themeColor="text1"/>
          <w:sz w:val="22"/>
          <w:szCs w:val="22"/>
        </w:rPr>
        <w:t>postanowień</w:t>
      </w:r>
      <w:r w:rsidR="007262F0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32A04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>ust.</w:t>
      </w:r>
      <w:r w:rsidR="00B44802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>1, pkt.</w:t>
      </w:r>
      <w:r w:rsidR="00532A04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262F0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1.7 </w:t>
      </w:r>
      <w:r w:rsidR="00011D2E">
        <w:rPr>
          <w:rFonts w:asciiTheme="majorHAnsi" w:hAnsiTheme="majorHAnsi" w:cstheme="majorHAnsi"/>
          <w:color w:val="000000" w:themeColor="text1"/>
          <w:sz w:val="22"/>
          <w:szCs w:val="22"/>
        </w:rPr>
        <w:t>powyżej</w:t>
      </w:r>
      <w:r w:rsidR="007262F0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oraz </w:t>
      </w:r>
      <w:r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>z wyłączeniem przypadków przewidzian</w:t>
      </w:r>
      <w:r w:rsidR="00C016C7"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>ych właściwymi przepisami prawa;</w:t>
      </w:r>
      <w:r w:rsidRPr="00011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FF22FA9" w14:textId="001FA9A4" w:rsidR="00655579" w:rsidRDefault="00662E61" w:rsidP="00372D0D">
      <w:pPr>
        <w:widowControl w:val="0"/>
        <w:numPr>
          <w:ilvl w:val="1"/>
          <w:numId w:val="9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wydania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3245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decyzji o wystawieniu </w:t>
      </w:r>
      <w:r w:rsidR="00B44802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 lub 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>decyzji</w:t>
      </w:r>
      <w:r w:rsidR="00372D0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 odmowie jego wystawienia,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1734C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 terminie 14</w:t>
      </w:r>
      <w:r w:rsidR="00AE6E3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dni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licząc od</w:t>
      </w:r>
      <w:r w:rsidR="00B36A4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zakończenia</w:t>
      </w:r>
      <w:r w:rsidR="00B36A4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przeprowadzania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oceny 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zgodności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17165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UE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Warunkiem wydania 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372D0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jest</w:t>
      </w:r>
      <w:r w:rsidR="00B36A4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uiszczenie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przez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B36A4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wszystkich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wymaganych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opłat okr</w:t>
      </w:r>
      <w:r w:rsidR="00C016C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eślonych w § 7 niniejszej 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372D0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mowy</w:t>
      </w:r>
      <w:r w:rsidR="00C016C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501CB686" w14:textId="351F6A01" w:rsidR="00372D0D" w:rsidRDefault="00532A04" w:rsidP="00F425C4">
      <w:pPr>
        <w:widowControl w:val="0"/>
        <w:numPr>
          <w:ilvl w:val="1"/>
          <w:numId w:val="9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przesłanie </w:t>
      </w:r>
      <w:r w:rsidR="00D9066F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owi pisemnej decyzji</w:t>
      </w:r>
      <w:r w:rsidR="00D9066F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70D0E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odmowie wydania 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372D0D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 </w:t>
      </w:r>
      <w:r w:rsidR="00070D0E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wraz z podaniem szczegółowego uzasadnienie odmowy w przypadku, gdy produkt nawozow</w:t>
      </w:r>
      <w:r w:rsidR="005837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y UE</w:t>
      </w:r>
      <w:r w:rsidR="00070D0E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spełnia wymogów </w:t>
      </w:r>
      <w:r w:rsidR="005837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070D0E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ozporządzenia</w:t>
      </w:r>
      <w:r w:rsidR="005837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(UE) 2019/1009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191B4D0D" w14:textId="43C1DA58" w:rsidR="00655579" w:rsidRDefault="00655579" w:rsidP="00F425C4">
      <w:pPr>
        <w:widowControl w:val="0"/>
        <w:numPr>
          <w:ilvl w:val="1"/>
          <w:numId w:val="9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przeprowadzenia </w:t>
      </w:r>
      <w:proofErr w:type="spellStart"/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certyfikującego</w:t>
      </w:r>
      <w:r w:rsidR="002A7C63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D3960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przypadku oceny zgodności prowadzonej </w:t>
      </w:r>
      <w:r w:rsidR="00D1734C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AD3960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module D1 </w:t>
      </w:r>
      <w:r w:rsidR="002A7C63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(jeśli zasadne)</w:t>
      </w: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D3960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miejscu produkcji/magazynowania 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nawozowego UE </w:t>
      </w: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celu oceny spełnienia wymagań określonych właściwymi przepisami. Termin </w:t>
      </w:r>
      <w:proofErr w:type="spellStart"/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certyfikują</w:t>
      </w:r>
      <w:r w:rsidR="00C016C7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cego jest uzgadniany z </w:t>
      </w:r>
      <w:r w:rsidR="00B67374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C016C7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em;</w:t>
      </w: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767995B" w14:textId="29484C15" w:rsidR="00655579" w:rsidRDefault="00655579" w:rsidP="00F425C4">
      <w:pPr>
        <w:widowControl w:val="0"/>
        <w:numPr>
          <w:ilvl w:val="1"/>
          <w:numId w:val="9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prowadzenia </w:t>
      </w:r>
      <w:proofErr w:type="spellStart"/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auditów</w:t>
      </w:r>
      <w:proofErr w:type="spellEnd"/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nadzoru</w:t>
      </w:r>
      <w:r w:rsidR="00657C2F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(w ramach oceny prowadzonej w module D1) co najmniej raz </w:t>
      </w:r>
      <w:r w:rsidR="00251EC2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657C2F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w każdym roku ważności certyfikatu oraz</w:t>
      </w:r>
      <w:r w:rsidR="00A81AF4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71654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wizyt </w:t>
      </w:r>
      <w:r w:rsidR="00F10115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niezapowiedzianych</w:t>
      </w:r>
      <w:r w:rsidR="005837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celu sprawdzenia wywiązywania się </w:t>
      </w:r>
      <w:r w:rsidR="00B67374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a z ciążący</w:t>
      </w:r>
      <w:r w:rsidR="00657C2F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ch</w:t>
      </w: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nim obowiązków z tytułu </w:t>
      </w:r>
      <w:r w:rsidR="00372D0D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posiadan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>ego</w:t>
      </w:r>
      <w:r w:rsidR="00372D0D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372D0D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ertyfikat</w:t>
      </w:r>
      <w:r w:rsidR="008D4A6F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C016C7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 okresie </w:t>
      </w:r>
      <w:r w:rsidR="008D4A6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jego </w:t>
      </w:r>
      <w:r w:rsidR="00C016C7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ważności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32A04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Termin </w:t>
      </w:r>
      <w:proofErr w:type="spellStart"/>
      <w:r w:rsidR="00532A04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="00532A04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nadzoru jest uzgadniany z Producentem;</w:t>
      </w:r>
    </w:p>
    <w:p w14:paraId="6C730349" w14:textId="43E0592E" w:rsidR="00655579" w:rsidRDefault="00662E61" w:rsidP="00F425C4">
      <w:pPr>
        <w:widowControl w:val="0"/>
        <w:numPr>
          <w:ilvl w:val="1"/>
          <w:numId w:val="9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6555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rzesłania </w:t>
      </w:r>
      <w:r w:rsidR="00532A04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Producentowi </w:t>
      </w:r>
      <w:r w:rsidR="006555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formie pisemnej informacji o wyniku </w:t>
      </w:r>
      <w:proofErr w:type="spellStart"/>
      <w:r w:rsidR="006555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="006555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lub raportu z </w:t>
      </w:r>
      <w:proofErr w:type="spellStart"/>
      <w:r w:rsidR="006555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="006555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51EC2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6555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</w:t>
      </w:r>
      <w:r w:rsidR="00655579" w:rsidRPr="00372D0D">
        <w:rPr>
          <w:rFonts w:asciiTheme="majorHAnsi" w:hAnsiTheme="majorHAnsi" w:cstheme="majorHAnsi"/>
          <w:sz w:val="22"/>
          <w:szCs w:val="22"/>
        </w:rPr>
        <w:t>terminie 30 dni roboc</w:t>
      </w:r>
      <w:r w:rsidR="00C016C7" w:rsidRPr="00372D0D">
        <w:rPr>
          <w:rFonts w:asciiTheme="majorHAnsi" w:hAnsiTheme="majorHAnsi" w:cstheme="majorHAnsi"/>
          <w:sz w:val="22"/>
          <w:szCs w:val="22"/>
        </w:rPr>
        <w:t xml:space="preserve">zych od dnia </w:t>
      </w:r>
      <w:r w:rsidR="00C016C7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zakończenia </w:t>
      </w:r>
      <w:proofErr w:type="spellStart"/>
      <w:r w:rsidR="00C016C7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="00C016C7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  <w:r w:rsidR="0065557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25EDD50" w14:textId="353BE23B" w:rsidR="00372D0D" w:rsidRDefault="00655579" w:rsidP="00F425C4">
      <w:pPr>
        <w:widowControl w:val="0"/>
        <w:numPr>
          <w:ilvl w:val="1"/>
          <w:numId w:val="9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przechowywania w swoich archiwach wszystkich materiałów związanych z oceną zgodności </w:t>
      </w:r>
      <w:r w:rsidR="00A176B6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i nadzorem nad wydanym</w:t>
      </w:r>
      <w:r w:rsidR="00657C2F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certyfikat</w:t>
      </w:r>
      <w:r w:rsidR="00657C2F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ami</w:t>
      </w: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przez okres wymagany prawem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6E4DF552" w14:textId="4277C941" w:rsidR="00C82139" w:rsidRDefault="00C41B9C" w:rsidP="00F425C4">
      <w:pPr>
        <w:widowControl w:val="0"/>
        <w:numPr>
          <w:ilvl w:val="1"/>
          <w:numId w:val="9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C8213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oinformowania oraz uzyskania zgody Producenta na działania zlecane przez PCBC podwykonawcom lub spół</w:t>
      </w:r>
      <w:r w:rsidR="002A7C63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k</w:t>
      </w:r>
      <w:r w:rsidR="00C82139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om zależnym</w:t>
      </w:r>
      <w:r w:rsidR="00B44802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532A04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 zastrzeżeniem treści § 2 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>ust.</w:t>
      </w:r>
      <w:r w:rsidR="00B44802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04F92">
        <w:rPr>
          <w:rFonts w:asciiTheme="majorHAnsi" w:hAnsiTheme="majorHAnsi" w:cstheme="majorHAnsi"/>
          <w:color w:val="000000" w:themeColor="text1"/>
          <w:sz w:val="22"/>
          <w:szCs w:val="22"/>
        </w:rPr>
        <w:t>29</w:t>
      </w:r>
      <w:r w:rsidR="00304F92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72D0D">
        <w:rPr>
          <w:rFonts w:asciiTheme="majorHAnsi" w:hAnsiTheme="majorHAnsi" w:cstheme="majorHAnsi"/>
          <w:color w:val="000000" w:themeColor="text1"/>
          <w:sz w:val="22"/>
          <w:szCs w:val="22"/>
        </w:rPr>
        <w:t>niniejszej u</w:t>
      </w:r>
      <w:r w:rsidR="00372D0D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mowy</w:t>
      </w:r>
      <w:r w:rsidR="00532A04" w:rsidRPr="00372D0D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4970A990" w14:textId="15E8CE19" w:rsidR="004B4A9D" w:rsidRPr="00372D0D" w:rsidRDefault="004B4A9D" w:rsidP="00F425C4">
      <w:pPr>
        <w:widowControl w:val="0"/>
        <w:numPr>
          <w:ilvl w:val="1"/>
          <w:numId w:val="9"/>
        </w:numPr>
        <w:tabs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72D0D">
        <w:rPr>
          <w:rFonts w:asciiTheme="majorHAnsi" w:hAnsiTheme="majorHAnsi" w:cstheme="majorHAnsi"/>
          <w:color w:val="000000"/>
          <w:sz w:val="22"/>
          <w:szCs w:val="22"/>
        </w:rPr>
        <w:t>przekazania właściwemu organu notyfikującemu, Komisji Europejskiej, państwom członkowskim i pozostałym jednostkom notyfikowanym wymaganych Rozporządzeniem (UE) 2019/1009 informacji w zakresie prowadzonych ocen zgodności, w tym m.in.</w:t>
      </w:r>
      <w:r w:rsidR="00E921D1" w:rsidRPr="00372D0D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14:paraId="7C34EB2C" w14:textId="5B35DF87" w:rsidR="00E921D1" w:rsidRPr="00FC112D" w:rsidRDefault="00E921D1" w:rsidP="00372D0D">
      <w:pPr>
        <w:pStyle w:val="Akapitzlist"/>
        <w:widowControl w:val="0"/>
        <w:numPr>
          <w:ilvl w:val="0"/>
          <w:numId w:val="30"/>
        </w:numPr>
        <w:tabs>
          <w:tab w:val="num" w:pos="567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E921D1">
        <w:rPr>
          <w:rFonts w:asciiTheme="majorHAnsi" w:hAnsiTheme="majorHAnsi" w:cstheme="majorHAnsi"/>
          <w:color w:val="000000"/>
          <w:sz w:val="22"/>
          <w:szCs w:val="22"/>
        </w:rPr>
        <w:t xml:space="preserve">prowadzonych </w:t>
      </w:r>
      <w:r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E921D1">
        <w:rPr>
          <w:rFonts w:asciiTheme="majorHAnsi" w:hAnsiTheme="majorHAnsi" w:cstheme="majorHAnsi"/>
          <w:color w:val="000000"/>
          <w:sz w:val="22"/>
          <w:szCs w:val="22"/>
        </w:rPr>
        <w:t xml:space="preserve">cen zgodności, w tym m.in. wydanych Certyfikatów lub decyzji </w:t>
      </w:r>
      <w:r w:rsidR="00A176B6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E921D1">
        <w:rPr>
          <w:rFonts w:asciiTheme="majorHAnsi" w:hAnsiTheme="majorHAnsi" w:cstheme="majorHAnsi"/>
          <w:color w:val="000000"/>
          <w:sz w:val="22"/>
          <w:szCs w:val="22"/>
        </w:rPr>
        <w:t xml:space="preserve">o odmowie wystawienia Certyfikatu, </w:t>
      </w:r>
    </w:p>
    <w:p w14:paraId="152EFB50" w14:textId="747BF369" w:rsidR="00E921D1" w:rsidRPr="00F0683F" w:rsidRDefault="00B133C3" w:rsidP="00F425C4">
      <w:pPr>
        <w:pStyle w:val="Akapitzlist"/>
        <w:widowControl w:val="0"/>
        <w:numPr>
          <w:ilvl w:val="0"/>
          <w:numId w:val="30"/>
        </w:numPr>
        <w:tabs>
          <w:tab w:val="num" w:pos="567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FC112D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="00E921D1" w:rsidRPr="00FC112D">
        <w:rPr>
          <w:rFonts w:asciiTheme="majorHAnsi" w:hAnsiTheme="majorHAnsi" w:cstheme="majorHAnsi"/>
          <w:color w:val="000000"/>
          <w:sz w:val="22"/>
          <w:szCs w:val="22"/>
        </w:rPr>
        <w:t>ertyfikatów ograniczonych/zawieszonych i cofniętych,</w:t>
      </w:r>
    </w:p>
    <w:p w14:paraId="466BD725" w14:textId="0C16F829" w:rsidR="00E921D1" w:rsidRPr="00FC112D" w:rsidRDefault="00E921D1" w:rsidP="00F425C4">
      <w:pPr>
        <w:pStyle w:val="Akapitzlist"/>
        <w:widowControl w:val="0"/>
        <w:numPr>
          <w:ilvl w:val="0"/>
          <w:numId w:val="30"/>
        </w:numPr>
        <w:tabs>
          <w:tab w:val="num" w:pos="567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FC112D">
        <w:rPr>
          <w:rFonts w:asciiTheme="majorHAnsi" w:hAnsiTheme="majorHAnsi" w:cstheme="majorHAnsi"/>
          <w:color w:val="000000"/>
          <w:sz w:val="22"/>
          <w:szCs w:val="22"/>
        </w:rPr>
        <w:t>wynik</w:t>
      </w:r>
      <w:r w:rsidR="003660C9" w:rsidRPr="00FC112D">
        <w:rPr>
          <w:rFonts w:asciiTheme="majorHAnsi" w:hAnsiTheme="majorHAnsi" w:cstheme="majorHAnsi"/>
          <w:color w:val="000000"/>
          <w:sz w:val="22"/>
          <w:szCs w:val="22"/>
        </w:rPr>
        <w:t>ów</w:t>
      </w:r>
      <w:r w:rsidRPr="00FC112D">
        <w:rPr>
          <w:rFonts w:asciiTheme="majorHAnsi" w:hAnsiTheme="majorHAnsi" w:cstheme="majorHAnsi"/>
          <w:color w:val="000000"/>
          <w:sz w:val="22"/>
          <w:szCs w:val="22"/>
        </w:rPr>
        <w:t xml:space="preserve"> przeprowadzonych badań, </w:t>
      </w:r>
    </w:p>
    <w:p w14:paraId="3229914A" w14:textId="77777777" w:rsidR="00E921D1" w:rsidRPr="00FC112D" w:rsidRDefault="00E921D1" w:rsidP="00F425C4">
      <w:pPr>
        <w:pStyle w:val="Akapitzlist"/>
        <w:widowControl w:val="0"/>
        <w:numPr>
          <w:ilvl w:val="0"/>
          <w:numId w:val="30"/>
        </w:numPr>
        <w:tabs>
          <w:tab w:val="num" w:pos="567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FC112D">
        <w:rPr>
          <w:rFonts w:asciiTheme="majorHAnsi" w:hAnsiTheme="majorHAnsi" w:cstheme="majorHAnsi"/>
          <w:sz w:val="22"/>
          <w:szCs w:val="22"/>
        </w:rPr>
        <w:t xml:space="preserve">kopii dokumentacji technicznej, </w:t>
      </w:r>
    </w:p>
    <w:p w14:paraId="7FB79E78" w14:textId="77777777" w:rsidR="00E921D1" w:rsidRPr="00FC112D" w:rsidRDefault="00E921D1" w:rsidP="00F425C4">
      <w:pPr>
        <w:pStyle w:val="Akapitzlist"/>
        <w:widowControl w:val="0"/>
        <w:numPr>
          <w:ilvl w:val="0"/>
          <w:numId w:val="30"/>
        </w:numPr>
        <w:tabs>
          <w:tab w:val="num" w:pos="567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FC112D">
        <w:rPr>
          <w:rFonts w:asciiTheme="majorHAnsi" w:hAnsiTheme="majorHAnsi" w:cstheme="majorHAnsi"/>
          <w:sz w:val="22"/>
          <w:szCs w:val="22"/>
        </w:rPr>
        <w:t>informacji o wszelkich okolicznościach wpływających na zakres lub warunki notyfikacji,</w:t>
      </w:r>
    </w:p>
    <w:p w14:paraId="42475296" w14:textId="46EF91F0" w:rsidR="00E921D1" w:rsidRDefault="00E921D1" w:rsidP="00F425C4">
      <w:pPr>
        <w:pStyle w:val="Akapitzlist"/>
        <w:widowControl w:val="0"/>
        <w:numPr>
          <w:ilvl w:val="0"/>
          <w:numId w:val="30"/>
        </w:numPr>
        <w:tabs>
          <w:tab w:val="num" w:pos="567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>każd</w:t>
      </w:r>
      <w:r w:rsidR="003660C9"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>ego</w:t>
      </w:r>
      <w:r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przypadku żądania przez organy nadzoru rynku informacji o działaniach związanych z oceną zgodności,</w:t>
      </w:r>
    </w:p>
    <w:p w14:paraId="45381B09" w14:textId="583E5BCA" w:rsidR="00E921D1" w:rsidRDefault="003660C9" w:rsidP="00F425C4">
      <w:pPr>
        <w:pStyle w:val="Akapitzlist"/>
        <w:widowControl w:val="0"/>
        <w:numPr>
          <w:ilvl w:val="0"/>
          <w:numId w:val="30"/>
        </w:numPr>
        <w:tabs>
          <w:tab w:val="num" w:pos="567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>(</w:t>
      </w:r>
      <w:r w:rsidR="00E921D1"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>na żądanie</w:t>
      </w:r>
      <w:r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  <w:r w:rsidR="00E921D1"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działa</w:t>
      </w:r>
      <w:r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>ń</w:t>
      </w:r>
      <w:r w:rsidR="00E921D1"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związanych z oceną zgodności objętych zakresem ich notyfikacji oraz o innych prowadzonych działaniach, w tym działaniach transgranicznych </w:t>
      </w:r>
      <w:r w:rsidR="00A176B6">
        <w:rPr>
          <w:rFonts w:asciiTheme="majorHAnsi" w:hAnsiTheme="majorHAnsi" w:cstheme="majorHAnsi"/>
          <w:bCs/>
          <w:color w:val="000000"/>
          <w:sz w:val="22"/>
          <w:szCs w:val="22"/>
        </w:rPr>
        <w:br/>
      </w:r>
      <w:r w:rsidR="00E921D1"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>i podwykonawstwie,</w:t>
      </w:r>
    </w:p>
    <w:p w14:paraId="18A222B4" w14:textId="7B151747" w:rsidR="008B56E4" w:rsidRPr="00F425C4" w:rsidRDefault="00E921D1" w:rsidP="00FC112D">
      <w:pPr>
        <w:pStyle w:val="Akapitzlist"/>
        <w:widowControl w:val="0"/>
        <w:numPr>
          <w:ilvl w:val="0"/>
          <w:numId w:val="30"/>
        </w:numPr>
        <w:tabs>
          <w:tab w:val="clear" w:pos="2061"/>
          <w:tab w:val="num" w:pos="567"/>
          <w:tab w:val="left" w:pos="1701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>odpowiedni</w:t>
      </w:r>
      <w:r w:rsidR="003660C9"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>ch</w:t>
      </w:r>
      <w:r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informacj</w:t>
      </w:r>
      <w:r w:rsidR="003660C9"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>i</w:t>
      </w:r>
      <w:r w:rsidRPr="00A002B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na temat kwestii związanych z negatywnymi, a na żądanie – także z pozytywnymi wynikami oceny zgodności</w:t>
      </w:r>
      <w:r w:rsidR="00A002B8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7286EB2D" w14:textId="65642BEB" w:rsidR="001B627C" w:rsidRDefault="009D0D3D" w:rsidP="009A0D75">
      <w:pPr>
        <w:widowControl w:val="0"/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>3.</w:t>
      </w: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A002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A002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PCBC odpowiada za działania i zaniechania swoich pracowników, współpracowników</w:t>
      </w:r>
      <w:r w:rsidR="002A7C63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eksperta/</w:t>
      </w:r>
      <w:r w:rsidR="00583779" w:rsidRPr="00DE018B" w:rsidDel="0058377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DE018B">
        <w:rPr>
          <w:rFonts w:asciiTheme="majorHAnsi" w:hAnsiTheme="majorHAnsi" w:cstheme="majorHAnsi"/>
          <w:color w:val="000000" w:themeColor="text1"/>
          <w:sz w:val="22"/>
          <w:szCs w:val="22"/>
        </w:rPr>
        <w:t>auditora</w:t>
      </w:r>
      <w:r w:rsidR="0058377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583779" w:rsidRPr="00DE018B">
        <w:rPr>
          <w:rFonts w:asciiTheme="majorHAnsi" w:hAnsiTheme="majorHAnsi" w:cstheme="majorHAnsi"/>
          <w:color w:val="000000" w:themeColor="text1"/>
          <w:sz w:val="22"/>
          <w:szCs w:val="22"/>
        </w:rPr>
        <w:t>podwykonawcy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oraz wszelkich innych osób uczestniczących w jakikolwiek sposób </w:t>
      </w:r>
      <w:r w:rsidR="00251EC2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realizacji niniejszej </w:t>
      </w:r>
      <w:r w:rsidR="00A002B8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A002B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mowy</w:t>
      </w:r>
      <w:r w:rsidR="00F07FF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ze strony PCBC</w:t>
      </w:r>
      <w:r w:rsidR="00DF461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 tym w </w:t>
      </w:r>
      <w:proofErr w:type="spellStart"/>
      <w:r w:rsidR="00DF461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tach</w:t>
      </w:r>
      <w:proofErr w:type="spellEnd"/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lub procedurze oceny zgodności</w:t>
      </w:r>
      <w:r w:rsidR="002A7C6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421E10D" w14:textId="77777777" w:rsidR="00251EC2" w:rsidRPr="00CE2931" w:rsidRDefault="00251EC2" w:rsidP="00454F09">
      <w:pPr>
        <w:widowControl w:val="0"/>
        <w:tabs>
          <w:tab w:val="num" w:pos="426"/>
        </w:tabs>
        <w:spacing w:beforeLines="20" w:before="48" w:afterLines="20" w:after="48"/>
        <w:ind w:left="426" w:hanging="426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FDC0D6C" w14:textId="37C81B66" w:rsidR="00655579" w:rsidRDefault="00655579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sym w:font="Times New Roman" w:char="00A7"/>
      </w: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4. Prawa i obowiązki </w:t>
      </w:r>
      <w:r w:rsidR="00B67374"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</w:t>
      </w:r>
    </w:p>
    <w:p w14:paraId="6F0E7126" w14:textId="77777777" w:rsidR="00A002B8" w:rsidRPr="00CE2931" w:rsidRDefault="00A002B8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7FBD269" w14:textId="7E0D127A" w:rsidR="00655579" w:rsidRPr="00CE2931" w:rsidRDefault="00655579" w:rsidP="00A002B8">
      <w:pPr>
        <w:pStyle w:val="Akapitzlist"/>
        <w:widowControl w:val="0"/>
        <w:numPr>
          <w:ilvl w:val="0"/>
          <w:numId w:val="26"/>
        </w:numPr>
        <w:spacing w:beforeLines="20" w:before="48" w:afterLines="20" w:after="48"/>
        <w:ind w:left="709" w:hanging="709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 xml:space="preserve">Prawa </w:t>
      </w:r>
      <w:r w:rsidR="00B67374"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</w:p>
    <w:p w14:paraId="32C3C862" w14:textId="675CF83B" w:rsidR="00655579" w:rsidRPr="00CE2931" w:rsidRDefault="00B67374" w:rsidP="00A002B8">
      <w:pPr>
        <w:widowControl w:val="0"/>
        <w:spacing w:beforeLines="20" w:before="48" w:afterLines="20" w:after="48"/>
        <w:ind w:left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 prawo do: </w:t>
      </w:r>
    </w:p>
    <w:p w14:paraId="1BEB20F5" w14:textId="174583DD" w:rsidR="005262A6" w:rsidRPr="00CE2931" w:rsidRDefault="00A002B8" w:rsidP="00A002B8">
      <w:pPr>
        <w:widowControl w:val="0"/>
        <w:numPr>
          <w:ilvl w:val="1"/>
          <w:numId w:val="7"/>
        </w:numPr>
        <w:tabs>
          <w:tab w:val="clear" w:pos="360"/>
          <w:tab w:val="left" w:pos="709"/>
          <w:tab w:val="num" w:pos="993"/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525E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znakowania</w:t>
      </w:r>
      <w:r w:rsidR="00E525E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91773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525E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znakiem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 z numerem identyfikacyjnym Jednostki Notyfikowanej – PCBC na produkowanym przez siebie wyrobie </w:t>
      </w:r>
      <w:r w:rsidR="00B133C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(w module A1 i D1)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na podstawie otr</w:t>
      </w:r>
      <w:r w:rsidR="00E534E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zymanego </w:t>
      </w:r>
      <w:r w:rsidR="00D9066F">
        <w:rPr>
          <w:rFonts w:asciiTheme="majorHAnsi" w:hAnsiTheme="majorHAnsi" w:cstheme="majorHAnsi"/>
          <w:color w:val="000000" w:themeColor="text1"/>
          <w:sz w:val="22"/>
          <w:szCs w:val="22"/>
        </w:rPr>
        <w:t>od</w:t>
      </w:r>
      <w:r w:rsidR="00D9066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534E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</w:t>
      </w:r>
      <w:r w:rsidR="00B133C3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E534E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ertyfikatu</w:t>
      </w:r>
      <w:r w:rsidR="00657C2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zgodnie z </w:t>
      </w:r>
      <w:r w:rsidR="007248D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dokumentem </w:t>
      </w:r>
      <w:r w:rsidR="007248DA" w:rsidRPr="007248DA">
        <w:rPr>
          <w:rFonts w:asciiTheme="majorHAnsi" w:hAnsiTheme="majorHAnsi" w:cstheme="majorHAnsi"/>
          <w:color w:val="000000" w:themeColor="text1"/>
          <w:sz w:val="22"/>
          <w:szCs w:val="22"/>
        </w:rPr>
        <w:t>DBS-N-03</w:t>
      </w:r>
      <w:r w:rsidR="002153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248DA" w:rsidRPr="007248DA">
        <w:rPr>
          <w:rFonts w:asciiTheme="majorHAnsi" w:hAnsiTheme="majorHAnsi" w:cstheme="majorHAnsi"/>
          <w:color w:val="000000" w:themeColor="text1"/>
          <w:sz w:val="22"/>
          <w:szCs w:val="22"/>
        </w:rPr>
        <w:t>- Polityka dotycząca zarządzania numerem identyfikacyjnym JN</w:t>
      </w:r>
      <w:r w:rsidR="007248D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dostępnym na www.pcbc.gov.pl</w:t>
      </w:r>
      <w:r w:rsidR="00E534E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65C2A2D" w14:textId="1D66F0DB" w:rsidR="00655579" w:rsidRPr="00CE2931" w:rsidRDefault="00655579" w:rsidP="00A002B8">
      <w:pPr>
        <w:widowControl w:val="0"/>
        <w:numPr>
          <w:ilvl w:val="1"/>
          <w:numId w:val="7"/>
        </w:numPr>
        <w:tabs>
          <w:tab w:val="clear" w:pos="360"/>
          <w:tab w:val="num" w:pos="709"/>
          <w:tab w:val="left" w:pos="1276"/>
        </w:tabs>
        <w:spacing w:beforeLines="20" w:before="48" w:afterLines="20" w:after="48"/>
        <w:ind w:left="709" w:firstLine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6" w:name="_Hlk44596161"/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powoływania się na uzyskany </w:t>
      </w:r>
      <w:r w:rsidR="00A002B8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A002B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ertyfikat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</w:p>
    <w:p w14:paraId="38CACBA7" w14:textId="47499B09" w:rsidR="00655579" w:rsidRPr="00CE2931" w:rsidRDefault="00655579" w:rsidP="00A002B8">
      <w:pPr>
        <w:widowControl w:val="0"/>
        <w:tabs>
          <w:tab w:val="left" w:pos="1701"/>
        </w:tabs>
        <w:spacing w:beforeLines="20" w:before="48" w:afterLines="20" w:after="48"/>
        <w:ind w:left="851" w:firstLine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a)</w:t>
      </w:r>
      <w:r w:rsidR="00860CF3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A44C3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A002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 działalności reklamowej i promocyjnej,</w:t>
      </w:r>
    </w:p>
    <w:p w14:paraId="56F38E33" w14:textId="1FEACFFA" w:rsidR="00655579" w:rsidRPr="00CE2931" w:rsidRDefault="00655579" w:rsidP="00F425C4">
      <w:pPr>
        <w:widowControl w:val="0"/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b) </w:t>
      </w:r>
      <w:r w:rsidR="00B32E9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A002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 trakcie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prowadzenia negocjacji, przy zawieraniu umów i kontraktów, dotyczących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10AC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nawozowego UE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objętego zakresem </w:t>
      </w:r>
      <w:r w:rsidR="00B133C3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ertyfikatu;</w:t>
      </w:r>
    </w:p>
    <w:p w14:paraId="55416BF5" w14:textId="6093A839" w:rsidR="00BF6EF3" w:rsidRPr="00CE2931" w:rsidRDefault="00BF6EF3" w:rsidP="00F425C4">
      <w:pPr>
        <w:widowControl w:val="0"/>
        <w:tabs>
          <w:tab w:val="left" w:pos="1701"/>
        </w:tabs>
        <w:spacing w:beforeLines="20" w:before="48" w:afterLines="20" w:after="48"/>
        <w:ind w:left="709"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c) </w:t>
      </w:r>
      <w:r w:rsidR="00A00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02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zgodnie z jego zakresem,</w:t>
      </w:r>
    </w:p>
    <w:p w14:paraId="19EA6CC5" w14:textId="66CB282C" w:rsidR="00BF6EF3" w:rsidRPr="00CE2931" w:rsidRDefault="00BF6EF3" w:rsidP="00FC112D">
      <w:pPr>
        <w:widowControl w:val="0"/>
        <w:tabs>
          <w:tab w:val="left" w:pos="1701"/>
        </w:tabs>
        <w:spacing w:beforeLines="20" w:before="48" w:afterLines="20" w:after="48"/>
        <w:ind w:left="709"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d) </w:t>
      </w:r>
      <w:r w:rsidR="00A00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02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 sposób niewprowadzający w błąd</w:t>
      </w:r>
      <w:r w:rsidR="004942E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bookmarkEnd w:id="6"/>
    <w:p w14:paraId="58A30DC6" w14:textId="50A71EE9" w:rsidR="00655579" w:rsidRDefault="00C016C7" w:rsidP="00A002B8">
      <w:pPr>
        <w:widowControl w:val="0"/>
        <w:numPr>
          <w:ilvl w:val="1"/>
          <w:numId w:val="7"/>
        </w:numPr>
        <w:tabs>
          <w:tab w:val="clear" w:pos="360"/>
          <w:tab w:val="num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wniesienia skargi i/lub odwołania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10AC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związan</w:t>
      </w:r>
      <w:r w:rsidR="00910ACD">
        <w:rPr>
          <w:rFonts w:asciiTheme="majorHAnsi" w:hAnsiTheme="majorHAnsi" w:cstheme="majorHAnsi"/>
          <w:color w:val="000000" w:themeColor="text1"/>
          <w:sz w:val="22"/>
          <w:szCs w:val="22"/>
        </w:rPr>
        <w:t>ej</w:t>
      </w:r>
      <w:r w:rsidR="00A002B8">
        <w:rPr>
          <w:rFonts w:asciiTheme="majorHAnsi" w:hAnsiTheme="majorHAnsi" w:cstheme="majorHAnsi"/>
          <w:color w:val="000000" w:themeColor="text1"/>
          <w:sz w:val="22"/>
          <w:szCs w:val="22"/>
        </w:rPr>
        <w:t>/związanego</w:t>
      </w:r>
      <w:r w:rsidR="00910AC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oceną zgodności, zgodnie z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sym w:font="Times New Roman" w:char="00A7"/>
      </w:r>
      <w:r w:rsidR="00E534E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5 niniejszej </w:t>
      </w:r>
      <w:r w:rsidR="00A002B8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A002B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mowy</w:t>
      </w:r>
      <w:r w:rsidR="00E534E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0AE582D4" w14:textId="76CC5400" w:rsidR="00977439" w:rsidRPr="00977439" w:rsidRDefault="00655579" w:rsidP="007A242B">
      <w:pPr>
        <w:widowControl w:val="0"/>
        <w:numPr>
          <w:ilvl w:val="1"/>
          <w:numId w:val="7"/>
        </w:numPr>
        <w:tabs>
          <w:tab w:val="clear" w:pos="360"/>
          <w:tab w:val="num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002B8">
        <w:rPr>
          <w:rFonts w:asciiTheme="majorHAnsi" w:hAnsiTheme="majorHAnsi" w:cstheme="majorHAnsi"/>
          <w:color w:val="000000" w:themeColor="text1"/>
          <w:sz w:val="22"/>
          <w:szCs w:val="22"/>
        </w:rPr>
        <w:t>wystąpienia z pisemnym wnioski</w:t>
      </w:r>
      <w:r w:rsidR="00E534E5" w:rsidRPr="00A002B8">
        <w:rPr>
          <w:rFonts w:asciiTheme="majorHAnsi" w:hAnsiTheme="majorHAnsi" w:cstheme="majorHAnsi"/>
          <w:color w:val="000000" w:themeColor="text1"/>
          <w:sz w:val="22"/>
          <w:szCs w:val="22"/>
        </w:rPr>
        <w:t>em</w:t>
      </w:r>
      <w:r w:rsidR="007F1A0B" w:rsidRPr="00A00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(ze wskazaniem przyczyny)</w:t>
      </w:r>
      <w:r w:rsidR="00E534E5" w:rsidRPr="00A00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przerwanie oceny zgodności</w:t>
      </w:r>
      <w:r w:rsidR="00A00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E3F56" w:rsidRPr="00A002B8">
        <w:rPr>
          <w:rFonts w:asciiTheme="majorHAnsi" w:hAnsiTheme="majorHAnsi" w:cstheme="majorHAnsi"/>
          <w:color w:val="000000" w:themeColor="text1"/>
          <w:sz w:val="22"/>
          <w:szCs w:val="22"/>
        </w:rPr>
        <w:t>– w takim przypadku, w sytuacji po rozpatrzeniu wniosku Producenta</w:t>
      </w:r>
      <w:r w:rsidR="00251EC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CE3F56" w:rsidRPr="00A00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informacja </w:t>
      </w:r>
      <w:r w:rsidR="00977439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CE3F56" w:rsidRPr="00A00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przerwaniu </w:t>
      </w:r>
      <w:r w:rsidR="00346B9E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CE3F56" w:rsidRPr="00A00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ceny zgodności kierowana jest </w:t>
      </w:r>
      <w:r w:rsidR="00A002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niezwłocznie </w:t>
      </w:r>
      <w:r w:rsidR="00CE3F56" w:rsidRPr="00A002B8">
        <w:rPr>
          <w:rFonts w:asciiTheme="majorHAnsi" w:hAnsiTheme="majorHAnsi" w:cstheme="majorHAnsi"/>
          <w:color w:val="000000" w:themeColor="text1"/>
          <w:sz w:val="22"/>
          <w:szCs w:val="22"/>
        </w:rPr>
        <w:t>do Producenta w formie decyzji PCBC (wraz z uzasadnieniem)</w:t>
      </w:r>
      <w:r w:rsidR="00A002B8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002B8" w:rsidRPr="00A002B8">
        <w:rPr>
          <w:rFonts w:asciiTheme="minorHAnsi" w:hAnsiTheme="minorHAnsi" w:cstheme="minorHAnsi"/>
          <w:color w:val="000000"/>
          <w:szCs w:val="24"/>
        </w:rPr>
        <w:t xml:space="preserve"> </w:t>
      </w:r>
      <w:r w:rsidR="00A002B8" w:rsidRPr="00F425C4">
        <w:rPr>
          <w:rFonts w:asciiTheme="majorHAnsi" w:hAnsiTheme="majorHAnsi" w:cstheme="minorHAnsi"/>
          <w:color w:val="000000"/>
          <w:sz w:val="22"/>
          <w:szCs w:val="22"/>
        </w:rPr>
        <w:t xml:space="preserve">przekazanej Producentowi </w:t>
      </w:r>
      <w:r w:rsidR="00304F92" w:rsidRPr="000B01DB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na adres </w:t>
      </w:r>
      <w:r w:rsidR="00304F92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e-mail </w:t>
      </w:r>
      <w:r w:rsidR="00304F92" w:rsidRPr="000B01DB">
        <w:rPr>
          <w:rFonts w:asciiTheme="majorHAnsi" w:hAnsiTheme="majorHAnsi" w:cstheme="minorHAnsi"/>
          <w:color w:val="000000"/>
          <w:sz w:val="22"/>
          <w:szCs w:val="22"/>
        </w:rPr>
        <w:t xml:space="preserve">wskazany przez Producenta w </w:t>
      </w:r>
      <w:r w:rsidR="00304F92" w:rsidRPr="00FC112D">
        <w:rPr>
          <w:rFonts w:asciiTheme="majorHAnsi" w:hAnsiTheme="majorHAnsi" w:cstheme="minorHAnsi"/>
          <w:color w:val="000000"/>
          <w:sz w:val="22"/>
          <w:szCs w:val="22"/>
        </w:rPr>
        <w:t>§ </w:t>
      </w:r>
      <w:r w:rsidR="00304F92">
        <w:rPr>
          <w:rFonts w:asciiTheme="majorHAnsi" w:hAnsiTheme="majorHAnsi" w:cstheme="minorHAnsi"/>
          <w:color w:val="000000"/>
          <w:sz w:val="22"/>
          <w:szCs w:val="22"/>
        </w:rPr>
        <w:t>9</w:t>
      </w:r>
      <w:r w:rsidR="00304F92"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 niniejszej umowy</w:t>
      </w:r>
      <w:r w:rsidR="00A002B8"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. </w:t>
      </w:r>
    </w:p>
    <w:p w14:paraId="15497BE2" w14:textId="24DB44A7" w:rsidR="007A242B" w:rsidRPr="007A242B" w:rsidRDefault="00A002B8" w:rsidP="00977439">
      <w:pPr>
        <w:widowControl w:val="0"/>
        <w:spacing w:beforeLines="20" w:before="48" w:afterLines="20" w:after="48"/>
        <w:ind w:left="127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W takim przypadku stosuje się odpowiednio postanowienia </w:t>
      </w:r>
      <w:r w:rsidRPr="00F0683F">
        <w:rPr>
          <w:rFonts w:asciiTheme="majorHAnsi" w:hAnsiTheme="majorHAnsi" w:cstheme="minorHAnsi"/>
          <w:color w:val="000000"/>
          <w:sz w:val="22"/>
          <w:szCs w:val="22"/>
        </w:rPr>
        <w:t xml:space="preserve">§ </w:t>
      </w:r>
      <w:r w:rsidR="00512B67" w:rsidRPr="00F0683F">
        <w:rPr>
          <w:rFonts w:asciiTheme="majorHAnsi" w:hAnsiTheme="majorHAnsi" w:cstheme="minorHAnsi"/>
          <w:color w:val="000000"/>
          <w:sz w:val="22"/>
          <w:szCs w:val="22"/>
        </w:rPr>
        <w:t xml:space="preserve">11 </w:t>
      </w:r>
      <w:r w:rsidRPr="00F0683F">
        <w:rPr>
          <w:rFonts w:asciiTheme="majorHAnsi" w:hAnsiTheme="majorHAnsi" w:cstheme="minorHAnsi"/>
          <w:color w:val="000000"/>
          <w:sz w:val="22"/>
          <w:szCs w:val="22"/>
        </w:rPr>
        <w:t xml:space="preserve">ust. </w:t>
      </w:r>
      <w:r w:rsidR="00512B67" w:rsidRPr="00FC112D">
        <w:rPr>
          <w:rFonts w:asciiTheme="majorHAnsi" w:hAnsiTheme="majorHAnsi" w:cstheme="minorHAnsi"/>
          <w:color w:val="000000"/>
          <w:sz w:val="22"/>
          <w:szCs w:val="22"/>
        </w:rPr>
        <w:t>7</w:t>
      </w:r>
      <w:r w:rsidRPr="00F0683F">
        <w:rPr>
          <w:rFonts w:asciiTheme="majorHAnsi" w:hAnsiTheme="majorHAnsi" w:cstheme="minorHAnsi"/>
          <w:color w:val="000000"/>
          <w:sz w:val="22"/>
          <w:szCs w:val="22"/>
        </w:rPr>
        <w:t>, z tym zastrzeżeniem, iż za datę przerwania czynności PCBC uznaje się datę wydania ww. decyzji</w:t>
      </w:r>
      <w:r>
        <w:rPr>
          <w:rFonts w:asciiTheme="majorHAnsi" w:hAnsiTheme="majorHAnsi" w:cstheme="minorHAnsi"/>
          <w:color w:val="000000"/>
          <w:sz w:val="22"/>
          <w:szCs w:val="22"/>
        </w:rPr>
        <w:t>;</w:t>
      </w:r>
    </w:p>
    <w:p w14:paraId="47B86461" w14:textId="3E2D12EF" w:rsidR="006E39D6" w:rsidRPr="00CE2931" w:rsidRDefault="007A242B" w:rsidP="00DF38DD">
      <w:pPr>
        <w:widowControl w:val="0"/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1.5.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783F9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wnioskowania o zmianę członków zespołu </w:t>
      </w:r>
      <w:proofErr w:type="spellStart"/>
      <w:r w:rsidR="00783F9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auditującego</w:t>
      </w:r>
      <w:proofErr w:type="spellEnd"/>
      <w:r w:rsidR="00783F9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 przedstawieniu pisemnego uzasadnienia, w</w:t>
      </w:r>
      <w:r w:rsidR="005B5EB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783F9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terminie </w:t>
      </w:r>
      <w:r w:rsidR="0045058F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="0045058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83F9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dni od dnia otrzymania od PCBC upoważnienia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dla członków zespołu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aud</w:t>
      </w:r>
      <w:r w:rsidR="00375FAE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tującego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83F9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przeprowadzenia </w:t>
      </w:r>
      <w:proofErr w:type="spellStart"/>
      <w:r w:rsidR="00783F9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="00783F9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8847F99" w14:textId="77777777" w:rsidR="005262A6" w:rsidRPr="00CE2931" w:rsidRDefault="005262A6" w:rsidP="00454F09">
      <w:pPr>
        <w:widowControl w:val="0"/>
        <w:spacing w:beforeLines="20" w:before="48" w:afterLines="20" w:after="48"/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E1FD00B" w14:textId="022ADE3D" w:rsidR="00655579" w:rsidRPr="00CE2931" w:rsidRDefault="00655579" w:rsidP="00DF38DD">
      <w:pPr>
        <w:pStyle w:val="Akapitzlist"/>
        <w:widowControl w:val="0"/>
        <w:numPr>
          <w:ilvl w:val="0"/>
          <w:numId w:val="26"/>
        </w:numPr>
        <w:spacing w:beforeLines="20" w:before="48" w:afterLines="20" w:after="48"/>
        <w:ind w:left="709" w:hanging="709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Obowiązki </w:t>
      </w:r>
      <w:r w:rsidR="00B67374"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20CD6159" w14:textId="2B630DCB" w:rsidR="00060A34" w:rsidRDefault="00B67374" w:rsidP="007A242B">
      <w:pPr>
        <w:pStyle w:val="Tekstpodstawowy"/>
        <w:widowControl w:val="0"/>
        <w:spacing w:beforeLines="20" w:before="48" w:afterLines="20" w:after="48"/>
        <w:ind w:left="709"/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zobowiązuje się do tego, że:</w:t>
      </w:r>
    </w:p>
    <w:p w14:paraId="2EB7BE29" w14:textId="11E4DF5E" w:rsidR="00655579" w:rsidRDefault="00655579" w:rsidP="00DF38DD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okresie ważności </w:t>
      </w:r>
      <w:r w:rsidR="00B133C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ertyfikatu będzie spełniał wymagania określone właściwymi przepisami prawa w</w:t>
      </w:r>
      <w:r w:rsidR="005B5EBA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zakresie oceny zgodności </w:t>
      </w:r>
      <w:r w:rsidR="00B67374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7F530C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="00B67374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będzie stosował znak CE </w:t>
      </w:r>
      <w:r w:rsidR="009774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wraz z </w:t>
      </w:r>
      <w:r w:rsidR="00DF38DD" w:rsidRPr="00FC112D">
        <w:rPr>
          <w:rFonts w:asciiTheme="majorHAnsi" w:hAnsiTheme="majorHAnsi" w:cstheme="minorHAnsi"/>
          <w:color w:val="000000"/>
          <w:sz w:val="22"/>
          <w:szCs w:val="22"/>
        </w:rPr>
        <w:t>n</w:t>
      </w:r>
      <w:r w:rsidR="00977439">
        <w:rPr>
          <w:rFonts w:asciiTheme="majorHAnsi" w:hAnsiTheme="majorHAnsi" w:cstheme="minorHAnsi"/>
          <w:color w:val="000000"/>
          <w:sz w:val="22"/>
          <w:szCs w:val="22"/>
        </w:rPr>
        <w:t>umerem</w:t>
      </w:r>
      <w:r w:rsidR="00DF38DD"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 PCBC, jako jednostki notyfikowanej (je</w:t>
      </w:r>
      <w:r w:rsidR="00405F40">
        <w:rPr>
          <w:rFonts w:asciiTheme="majorHAnsi" w:hAnsiTheme="majorHAnsi" w:cstheme="minorHAnsi"/>
          <w:color w:val="000000"/>
          <w:sz w:val="22"/>
          <w:szCs w:val="22"/>
        </w:rPr>
        <w:t>że</w:t>
      </w:r>
      <w:r w:rsidR="00DF38DD" w:rsidRPr="00FC112D">
        <w:rPr>
          <w:rFonts w:asciiTheme="majorHAnsi" w:hAnsiTheme="majorHAnsi" w:cstheme="minorHAnsi"/>
          <w:color w:val="000000"/>
          <w:sz w:val="22"/>
          <w:szCs w:val="22"/>
        </w:rPr>
        <w:t xml:space="preserve">li wymagany) 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wyłącznie</w:t>
      </w:r>
      <w:r w:rsidR="009B2826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gdy spełnione będą wszystkie ich wymagania;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A06E856" w14:textId="2D45FD13" w:rsidR="00655579" w:rsidRDefault="00655579" w:rsidP="00DF38DD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zapewni stosowanie </w:t>
      </w:r>
      <w:r w:rsidR="003E7D07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zatwierdzonego 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systemu zapewnienia jakości </w:t>
      </w:r>
      <w:r w:rsidR="002A7C6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produkcji 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związanego </w:t>
      </w:r>
      <w:r w:rsidR="00977439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procesem </w:t>
      </w:r>
      <w:r w:rsidR="002A7C6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produkcji </w:t>
      </w:r>
      <w:r w:rsidR="00B67374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</w:t>
      </w:r>
      <w:r w:rsidR="00CE3F56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nawozowego UE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zgodnie z właściwymi przepisami prawa; </w:t>
      </w:r>
    </w:p>
    <w:p w14:paraId="560C02FB" w14:textId="3BA2F5BC" w:rsidR="00655579" w:rsidRDefault="00655579" w:rsidP="00DF38DD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będzie podejmował </w:t>
      </w:r>
      <w:r w:rsidR="00060FA2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korekcje i 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działania korygujące wynikające ze stosowa</w:t>
      </w:r>
      <w:r w:rsidR="008166D0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nia systemu jakości;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5DB4BEC" w14:textId="1D844862" w:rsidR="00655579" w:rsidRDefault="00655579" w:rsidP="00DF38DD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wskaże i upoważni osobę odpowiedzialną za kontakt z PCBC w zakresie przeprowadzenia oceny zgodności </w:t>
      </w:r>
      <w:r w:rsidR="00B67374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917732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589DF68E" w14:textId="77777777" w:rsidR="002A7C63" w:rsidRPr="00DF38DD" w:rsidRDefault="00655579" w:rsidP="00DF38DD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wyrazi zgodę na</w:t>
      </w:r>
      <w:r w:rsidR="002A7C6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5C5E52E1" w14:textId="76D98993" w:rsidR="002A7C63" w:rsidRDefault="002A7C63" w:rsidP="00DF38DD">
      <w:pPr>
        <w:pStyle w:val="Tekstpodstawowy3"/>
        <w:widowControl w:val="0"/>
        <w:numPr>
          <w:ilvl w:val="0"/>
          <w:numId w:val="27"/>
        </w:numPr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przeprowadzenie badań </w:t>
      </w:r>
      <w:r w:rsid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nawozowego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UE zleconych przez </w:t>
      </w:r>
      <w:r w:rsidR="00CE3F56">
        <w:rPr>
          <w:rFonts w:asciiTheme="majorHAnsi" w:hAnsiTheme="majorHAnsi" w:cstheme="majorHAnsi"/>
          <w:color w:val="000000" w:themeColor="text1"/>
          <w:sz w:val="22"/>
          <w:szCs w:val="22"/>
        </w:rPr>
        <w:t>PCBC, jako</w:t>
      </w:r>
      <w:r w:rsidR="00B133C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jednostkę notyfikowaną dla </w:t>
      </w:r>
      <w:r w:rsid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ocenianego produktu nawozowego </w:t>
      </w:r>
      <w:r w:rsidR="00B133C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(jeśli zasadne),</w:t>
      </w:r>
    </w:p>
    <w:p w14:paraId="469E17CF" w14:textId="21F620A1" w:rsidR="002A7C63" w:rsidRDefault="00655579" w:rsidP="00DF38DD">
      <w:pPr>
        <w:pStyle w:val="Tekstpodstawowy3"/>
        <w:widowControl w:val="0"/>
        <w:numPr>
          <w:ilvl w:val="0"/>
          <w:numId w:val="27"/>
        </w:numPr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przeprowadzenie </w:t>
      </w:r>
      <w:proofErr w:type="spellStart"/>
      <w:r w:rsidR="00AD3960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aud</w:t>
      </w:r>
      <w:r w:rsidR="00A44C3D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AD3960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tów</w:t>
      </w:r>
      <w:proofErr w:type="spellEnd"/>
      <w:r w:rsidR="00B133C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D3960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przypadku oceny zgodności prowadzonej w module D1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77439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</w:t>
      </w:r>
      <w:r w:rsidR="00EE7F4F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pobranie próbek,</w:t>
      </w:r>
    </w:p>
    <w:p w14:paraId="6E30BCD9" w14:textId="7EC39879" w:rsidR="002A7C63" w:rsidRPr="00DF38DD" w:rsidRDefault="00655579" w:rsidP="00DF38DD">
      <w:pPr>
        <w:pStyle w:val="Tekstpodstawowy3"/>
        <w:widowControl w:val="0"/>
        <w:numPr>
          <w:ilvl w:val="0"/>
          <w:numId w:val="27"/>
        </w:numPr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zapewni</w:t>
      </w:r>
      <w:r w:rsidR="002A7C6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enie</w:t>
      </w:r>
      <w:r w:rsidR="006E0949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pracownikom PCBC,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auditorom oraz ekspertom PCBC </w:t>
      </w:r>
      <w:r w:rsidR="008E70D0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oraz przedstawicielom </w:t>
      </w:r>
      <w:r w:rsidR="00EC193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jednostki nadzoru (PCA), z organów administracji </w:t>
      </w:r>
      <w:r w:rsidR="00DF38DD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DF38DD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aństwa</w:t>
      </w:r>
      <w:r w:rsidR="00EC193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/organów administracji UE 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dostęp</w:t>
      </w:r>
      <w:r w:rsidR="002A7C6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próbek </w:t>
      </w:r>
      <w:r w:rsidR="00B67374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7F530C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miejsc </w:t>
      </w:r>
      <w:r w:rsidR="002A7C6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produkcji / magazynowania </w:t>
      </w:r>
      <w:r w:rsid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nawozowego UE 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i znajdującego się w nich wyposażenia oraz dokumentów</w:t>
      </w:r>
      <w:r w:rsidR="00D47D81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, danych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zapisów związanych z ocenianym </w:t>
      </w:r>
      <w:r w:rsidR="007F530C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produkt</w:t>
      </w:r>
      <w:r w:rsidR="002A7C6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em</w:t>
      </w:r>
      <w:r w:rsidR="007F530C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A7C6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nawozowym </w:t>
      </w:r>
      <w:r w:rsidR="007F530C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UE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systemem </w:t>
      </w:r>
      <w:r w:rsidR="002A7C63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zapewnienia 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>jakości</w:t>
      </w:r>
      <w:r w:rsidR="00917732"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produkcji</w:t>
      </w:r>
      <w:r w:rsidRPr="00DF38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 szczególności zapisów z reklamacji, </w:t>
      </w:r>
    </w:p>
    <w:p w14:paraId="30F73DF4" w14:textId="0BEFAA4F" w:rsidR="002A7C63" w:rsidRDefault="00655579" w:rsidP="00CF5871">
      <w:pPr>
        <w:pStyle w:val="Tekstpodstawowy3"/>
        <w:widowControl w:val="0"/>
        <w:numPr>
          <w:ilvl w:val="0"/>
          <w:numId w:val="27"/>
        </w:numPr>
        <w:tabs>
          <w:tab w:val="left" w:pos="1701"/>
        </w:tabs>
        <w:spacing w:beforeLines="20" w:before="48" w:afterLines="20" w:after="48"/>
        <w:ind w:left="709"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udziel</w:t>
      </w:r>
      <w:r w:rsidR="00762AB4">
        <w:rPr>
          <w:rFonts w:asciiTheme="majorHAnsi" w:hAnsiTheme="majorHAnsi" w:cstheme="majorHAnsi"/>
          <w:color w:val="000000" w:themeColor="text1"/>
          <w:sz w:val="22"/>
          <w:szCs w:val="22"/>
        </w:rPr>
        <w:t>anie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wszelkich informacji niezbędnych do przeprowadzenia </w:t>
      </w:r>
      <w:proofErr w:type="spellStart"/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auditów</w:t>
      </w:r>
      <w:proofErr w:type="spellEnd"/>
      <w:r w:rsidR="00A44C3D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68FC766C" w14:textId="45176361" w:rsidR="00655579" w:rsidRPr="00CF5871" w:rsidRDefault="00655579" w:rsidP="00FC112D">
      <w:pPr>
        <w:pStyle w:val="Tekstpodstawowy3"/>
        <w:widowControl w:val="0"/>
        <w:numPr>
          <w:ilvl w:val="0"/>
          <w:numId w:val="27"/>
        </w:numPr>
        <w:tabs>
          <w:tab w:val="left" w:pos="1701"/>
        </w:tabs>
        <w:spacing w:beforeLines="20" w:before="48" w:afterLines="20" w:after="48"/>
        <w:ind w:left="709"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zapewni</w:t>
      </w:r>
      <w:r w:rsidR="00762AB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enie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pomoc</w:t>
      </w:r>
      <w:r w:rsidR="00762AB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13801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wykwalifikowanych pracowników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21B85983" w14:textId="10A18BC5" w:rsidR="00655579" w:rsidRPr="00CE2931" w:rsidRDefault="00655579" w:rsidP="00CF5871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709"/>
          <w:tab w:val="left" w:pos="1276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ureguluje w terminie wszystkie opłaty należne PCBC związane z oceną zgodności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</w:t>
      </w:r>
      <w:r w:rsidR="00937CC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nawozowego UE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określone w § 7 niniejszej </w:t>
      </w:r>
      <w:r w:rsidR="00CF5871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CF587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mowy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niezależnie od wyniku oceny</w:t>
      </w:r>
      <w:r w:rsidR="00E534E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384EC411" w14:textId="667F762B" w:rsidR="00655579" w:rsidRPr="00CE2931" w:rsidRDefault="00655579" w:rsidP="00CF5871">
      <w:pPr>
        <w:pStyle w:val="Tekstpodstawowy3"/>
        <w:widowControl w:val="0"/>
        <w:numPr>
          <w:ilvl w:val="1"/>
          <w:numId w:val="10"/>
        </w:numPr>
        <w:tabs>
          <w:tab w:val="left" w:pos="1276"/>
        </w:tabs>
        <w:spacing w:beforeLines="20" w:before="48" w:afterLines="20" w:after="48"/>
        <w:ind w:firstLine="349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niezwłocznie powiadomi pisemnie PCBC o:</w:t>
      </w:r>
    </w:p>
    <w:p w14:paraId="12AC8D89" w14:textId="0277A443" w:rsidR="004641F2" w:rsidRDefault="004641F2" w:rsidP="00CF5871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1276"/>
          <w:tab w:val="left" w:pos="1701"/>
        </w:tabs>
        <w:spacing w:beforeLines="20" w:before="48" w:afterLines="20" w:after="48"/>
        <w:ind w:firstLine="55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incydentach związanych z certyfikowanym produktem nawozowym UE,</w:t>
      </w:r>
    </w:p>
    <w:p w14:paraId="50472948" w14:textId="14BF870C" w:rsidR="00655579" w:rsidRDefault="00655579" w:rsidP="00FC112D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1276"/>
          <w:tab w:val="left" w:pos="1701"/>
        </w:tabs>
        <w:spacing w:beforeLines="20" w:before="48" w:afterLines="20" w:after="48"/>
        <w:ind w:firstLine="55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istotnych zmianach</w:t>
      </w:r>
      <w:r w:rsidR="0035177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formy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organizacyjno-prawn</w:t>
      </w:r>
      <w:r w:rsidR="0035177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ej </w:t>
      </w:r>
      <w:r w:rsidR="00B6737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35177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55078C4B" w14:textId="77BDCA8B" w:rsidR="00655579" w:rsidRPr="00FC112D" w:rsidRDefault="00655579" w:rsidP="00FC112D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1276"/>
          <w:tab w:val="left" w:pos="1701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wszelkich zmianach w </w:t>
      </w:r>
      <w:r w:rsidR="00CF5871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certyfikowany</w:t>
      </w:r>
      <w:r w:rsidR="00CF5871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CF5871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F5871">
        <w:rPr>
          <w:rFonts w:asciiTheme="majorHAnsi" w:hAnsiTheme="majorHAnsi" w:cstheme="majorHAnsi"/>
          <w:color w:val="000000" w:themeColor="text1"/>
          <w:sz w:val="22"/>
          <w:szCs w:val="22"/>
        </w:rPr>
        <w:t>produkcie</w:t>
      </w:r>
      <w:r w:rsidR="00CF5871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nawozowy</w:t>
      </w:r>
      <w:r w:rsidR="00CF5871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CF5871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F530C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UE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E525E2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tym</w:t>
      </w:r>
      <w:r w:rsidR="00456C0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między innymi</w:t>
      </w:r>
      <w:r w:rsidR="00E525E2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: dokum</w:t>
      </w:r>
      <w:r w:rsidR="00456C0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entacji technicznej </w:t>
      </w:r>
      <w:r w:rsidR="00456C04" w:rsidRPr="00CF5871">
        <w:rPr>
          <w:rFonts w:asciiTheme="majorHAnsi" w:hAnsiTheme="majorHAnsi" w:cstheme="majorHAnsi"/>
          <w:sz w:val="22"/>
          <w:szCs w:val="22"/>
        </w:rPr>
        <w:t xml:space="preserve">projektowanego </w:t>
      </w:r>
      <w:r w:rsidR="00B67374" w:rsidRPr="00CF5871">
        <w:rPr>
          <w:rFonts w:asciiTheme="majorHAnsi" w:hAnsiTheme="majorHAnsi" w:cstheme="majorHAnsi"/>
          <w:sz w:val="22"/>
          <w:szCs w:val="22"/>
        </w:rPr>
        <w:t>produktu</w:t>
      </w:r>
      <w:r w:rsidR="00CE3F56" w:rsidRPr="00CF5871">
        <w:rPr>
          <w:rFonts w:asciiTheme="majorHAnsi" w:hAnsiTheme="majorHAnsi" w:cstheme="majorHAnsi"/>
          <w:sz w:val="22"/>
          <w:szCs w:val="22"/>
        </w:rPr>
        <w:t xml:space="preserve"> nawozowego UE</w:t>
      </w:r>
      <w:r w:rsidR="00456C04" w:rsidRPr="00CF5871">
        <w:rPr>
          <w:rFonts w:asciiTheme="majorHAnsi" w:hAnsiTheme="majorHAnsi" w:cstheme="majorHAnsi"/>
          <w:sz w:val="22"/>
          <w:szCs w:val="22"/>
        </w:rPr>
        <w:t>, liście</w:t>
      </w:r>
      <w:r w:rsidR="00E525E2" w:rsidRPr="00CF5871">
        <w:rPr>
          <w:rFonts w:asciiTheme="majorHAnsi" w:hAnsiTheme="majorHAnsi" w:cstheme="majorHAnsi"/>
          <w:sz w:val="22"/>
          <w:szCs w:val="22"/>
        </w:rPr>
        <w:t xml:space="preserve"> surowców</w:t>
      </w:r>
      <w:r w:rsidR="00F637A6" w:rsidRPr="00CF5871">
        <w:rPr>
          <w:rFonts w:asciiTheme="majorHAnsi" w:hAnsiTheme="majorHAnsi" w:cstheme="majorHAnsi"/>
          <w:sz w:val="22"/>
          <w:szCs w:val="22"/>
        </w:rPr>
        <w:t>,</w:t>
      </w:r>
      <w:r w:rsidR="00762AB4" w:rsidRPr="00CF5871">
        <w:rPr>
          <w:rFonts w:asciiTheme="majorHAnsi" w:hAnsiTheme="majorHAnsi" w:cstheme="majorHAnsi"/>
          <w:sz w:val="22"/>
          <w:szCs w:val="22"/>
        </w:rPr>
        <w:t xml:space="preserve"> itp.</w:t>
      </w:r>
    </w:p>
    <w:p w14:paraId="1D9DEA9F" w14:textId="4C0219AF" w:rsidR="00655579" w:rsidRDefault="00655579" w:rsidP="00FC112D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1276"/>
          <w:tab w:val="left" w:pos="1701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zmianach w systemie zapewnienia jakości</w:t>
      </w:r>
      <w:r w:rsidR="00762AB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produkcji</w:t>
      </w:r>
      <w:r w:rsidR="002677E5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00815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zakresie elementów związanych </w:t>
      </w:r>
      <w:r w:rsidR="007248DA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900815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certyfikowanym </w:t>
      </w:r>
      <w:r w:rsidR="007F530C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produktem nawozowym UE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</w:p>
    <w:p w14:paraId="4E3E9347" w14:textId="4D10F1EE" w:rsidR="00655579" w:rsidRDefault="00655579" w:rsidP="00FC112D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1276"/>
          <w:tab w:val="left" w:pos="1701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sz w:val="22"/>
          <w:szCs w:val="22"/>
        </w:rPr>
      </w:pP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zmianach w dokumentacji certyfikowanych </w:t>
      </w:r>
      <w:r w:rsidR="00A81AF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produktów</w:t>
      </w:r>
      <w:r w:rsidR="00CE3F56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nawozowych UE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 tym </w:t>
      </w:r>
      <w:r w:rsidRPr="00CF5871">
        <w:rPr>
          <w:rFonts w:asciiTheme="majorHAnsi" w:hAnsiTheme="majorHAnsi" w:cstheme="majorHAnsi"/>
          <w:sz w:val="22"/>
          <w:szCs w:val="22"/>
        </w:rPr>
        <w:t xml:space="preserve">zmianach w instrukcji </w:t>
      </w:r>
      <w:r w:rsidR="00762AB4" w:rsidRPr="00CF5871">
        <w:rPr>
          <w:rFonts w:asciiTheme="majorHAnsi" w:hAnsiTheme="majorHAnsi" w:cstheme="majorHAnsi"/>
          <w:sz w:val="22"/>
          <w:szCs w:val="22"/>
        </w:rPr>
        <w:t xml:space="preserve">stosowania </w:t>
      </w:r>
      <w:r w:rsidRPr="00CF5871">
        <w:rPr>
          <w:rFonts w:asciiTheme="majorHAnsi" w:hAnsiTheme="majorHAnsi" w:cstheme="majorHAnsi"/>
          <w:sz w:val="22"/>
          <w:szCs w:val="22"/>
        </w:rPr>
        <w:t xml:space="preserve">i </w:t>
      </w:r>
      <w:r w:rsidR="00C91045" w:rsidRPr="00CF5871">
        <w:rPr>
          <w:rFonts w:asciiTheme="majorHAnsi" w:hAnsiTheme="majorHAnsi" w:cstheme="majorHAnsi"/>
          <w:sz w:val="22"/>
          <w:szCs w:val="22"/>
        </w:rPr>
        <w:t>oznakowania</w:t>
      </w:r>
      <w:r w:rsidRPr="00CF5871">
        <w:rPr>
          <w:rFonts w:asciiTheme="majorHAnsi" w:hAnsiTheme="majorHAnsi" w:cstheme="majorHAnsi"/>
          <w:sz w:val="22"/>
          <w:szCs w:val="22"/>
        </w:rPr>
        <w:t xml:space="preserve"> </w:t>
      </w:r>
      <w:r w:rsidR="00990D1B" w:rsidRPr="00CF5871">
        <w:rPr>
          <w:rFonts w:asciiTheme="majorHAnsi" w:hAnsiTheme="majorHAnsi" w:cstheme="majorHAnsi"/>
          <w:sz w:val="22"/>
          <w:szCs w:val="22"/>
        </w:rPr>
        <w:t>produktów nawozowych UE</w:t>
      </w:r>
      <w:r w:rsidRPr="00CF5871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3E9EC41E" w14:textId="47811C7C" w:rsidR="00DD7BA0" w:rsidRPr="009B149F" w:rsidRDefault="00655579" w:rsidP="009B149F">
      <w:pPr>
        <w:pStyle w:val="Akapitzlist"/>
        <w:numPr>
          <w:ilvl w:val="0"/>
          <w:numId w:val="8"/>
        </w:numPr>
        <w:tabs>
          <w:tab w:val="clear" w:pos="720"/>
        </w:tabs>
        <w:ind w:left="170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B149F">
        <w:rPr>
          <w:rFonts w:asciiTheme="majorHAnsi" w:hAnsiTheme="majorHAnsi" w:cstheme="majorHAnsi"/>
          <w:sz w:val="22"/>
          <w:szCs w:val="22"/>
        </w:rPr>
        <w:t>planowanym lub faktyczn</w:t>
      </w:r>
      <w:r w:rsidR="00E534E5" w:rsidRPr="009B149F">
        <w:rPr>
          <w:rFonts w:asciiTheme="majorHAnsi" w:hAnsiTheme="majorHAnsi" w:cstheme="majorHAnsi"/>
          <w:sz w:val="22"/>
          <w:szCs w:val="22"/>
        </w:rPr>
        <w:t>ym zakończeniu pr</w:t>
      </w:r>
      <w:r w:rsidR="00573588" w:rsidRPr="009B149F">
        <w:rPr>
          <w:rFonts w:asciiTheme="majorHAnsi" w:hAnsiTheme="majorHAnsi" w:cstheme="majorHAnsi"/>
          <w:sz w:val="22"/>
          <w:szCs w:val="22"/>
        </w:rPr>
        <w:t xml:space="preserve">odukcji </w:t>
      </w:r>
      <w:r w:rsidR="00B67374" w:rsidRPr="009B149F">
        <w:rPr>
          <w:rFonts w:asciiTheme="majorHAnsi" w:hAnsiTheme="majorHAnsi" w:cstheme="majorHAnsi"/>
          <w:sz w:val="22"/>
          <w:szCs w:val="22"/>
        </w:rPr>
        <w:t>produktu</w:t>
      </w:r>
      <w:r w:rsidR="00B133C3" w:rsidRPr="009B149F">
        <w:rPr>
          <w:rFonts w:asciiTheme="majorHAnsi" w:hAnsiTheme="majorHAnsi" w:cstheme="majorHAnsi"/>
          <w:sz w:val="22"/>
          <w:szCs w:val="22"/>
        </w:rPr>
        <w:t xml:space="preserve"> nawozowego UE</w:t>
      </w:r>
      <w:r w:rsidR="00573588" w:rsidRPr="009B149F">
        <w:rPr>
          <w:rFonts w:asciiTheme="majorHAnsi" w:hAnsiTheme="majorHAnsi" w:cstheme="majorHAnsi"/>
          <w:sz w:val="22"/>
          <w:szCs w:val="22"/>
        </w:rPr>
        <w:t>, jak również</w:t>
      </w:r>
      <w:r w:rsidR="00351773" w:rsidRPr="009B149F">
        <w:rPr>
          <w:rFonts w:asciiTheme="majorHAnsi" w:hAnsiTheme="majorHAnsi" w:cstheme="majorHAnsi"/>
          <w:sz w:val="22"/>
          <w:szCs w:val="22"/>
        </w:rPr>
        <w:t xml:space="preserve"> </w:t>
      </w:r>
      <w:r w:rsidR="00CF5871" w:rsidRPr="009B149F">
        <w:rPr>
          <w:rFonts w:asciiTheme="majorHAnsi" w:hAnsiTheme="majorHAnsi" w:cstheme="majorHAnsi"/>
          <w:sz w:val="22"/>
          <w:szCs w:val="22"/>
        </w:rPr>
        <w:t xml:space="preserve">o </w:t>
      </w:r>
      <w:r w:rsidR="00351773" w:rsidRPr="009B149F">
        <w:rPr>
          <w:rFonts w:asciiTheme="majorHAnsi" w:hAnsiTheme="majorHAnsi" w:cstheme="majorHAnsi"/>
          <w:sz w:val="22"/>
          <w:szCs w:val="22"/>
        </w:rPr>
        <w:t>każdej</w:t>
      </w:r>
      <w:r w:rsidR="00573588" w:rsidRPr="009B149F">
        <w:rPr>
          <w:rFonts w:asciiTheme="majorHAnsi" w:hAnsiTheme="majorHAnsi" w:cstheme="majorHAnsi"/>
          <w:sz w:val="22"/>
          <w:szCs w:val="22"/>
        </w:rPr>
        <w:t xml:space="preserve"> planowan</w:t>
      </w:r>
      <w:r w:rsidR="00351773" w:rsidRPr="009B149F">
        <w:rPr>
          <w:rFonts w:asciiTheme="majorHAnsi" w:hAnsiTheme="majorHAnsi" w:cstheme="majorHAnsi"/>
          <w:sz w:val="22"/>
          <w:szCs w:val="22"/>
        </w:rPr>
        <w:t>ej</w:t>
      </w:r>
      <w:r w:rsidR="00573588" w:rsidRPr="009B149F">
        <w:rPr>
          <w:rFonts w:asciiTheme="majorHAnsi" w:hAnsiTheme="majorHAnsi" w:cstheme="majorHAnsi"/>
          <w:sz w:val="22"/>
          <w:szCs w:val="22"/>
        </w:rPr>
        <w:t xml:space="preserve"> przerw</w:t>
      </w:r>
      <w:r w:rsidR="00762AB4" w:rsidRPr="009B149F">
        <w:rPr>
          <w:rFonts w:asciiTheme="majorHAnsi" w:hAnsiTheme="majorHAnsi" w:cstheme="majorHAnsi"/>
          <w:sz w:val="22"/>
          <w:szCs w:val="22"/>
        </w:rPr>
        <w:t>ie</w:t>
      </w:r>
      <w:r w:rsidR="00573588" w:rsidRPr="009B149F">
        <w:rPr>
          <w:rFonts w:asciiTheme="majorHAnsi" w:hAnsiTheme="majorHAnsi" w:cstheme="majorHAnsi"/>
          <w:sz w:val="22"/>
          <w:szCs w:val="22"/>
        </w:rPr>
        <w:t xml:space="preserve"> w produkcji </w:t>
      </w:r>
      <w:r w:rsidR="00B67374" w:rsidRPr="009B149F">
        <w:rPr>
          <w:rFonts w:asciiTheme="majorHAnsi" w:hAnsiTheme="majorHAnsi" w:cstheme="majorHAnsi"/>
          <w:sz w:val="22"/>
          <w:szCs w:val="22"/>
        </w:rPr>
        <w:t>produktu</w:t>
      </w:r>
      <w:r w:rsidR="00CF5871" w:rsidRPr="009B149F">
        <w:rPr>
          <w:rFonts w:asciiTheme="majorHAnsi" w:hAnsiTheme="majorHAnsi" w:cstheme="majorHAnsi"/>
          <w:sz w:val="22"/>
          <w:szCs w:val="22"/>
        </w:rPr>
        <w:t xml:space="preserve"> nawozowego UE</w:t>
      </w:r>
      <w:r w:rsidR="00F637A6" w:rsidRPr="009B149F">
        <w:rPr>
          <w:rFonts w:asciiTheme="majorHAnsi" w:hAnsiTheme="majorHAnsi" w:cstheme="majorHAnsi"/>
          <w:sz w:val="22"/>
          <w:szCs w:val="22"/>
        </w:rPr>
        <w:t>,</w:t>
      </w:r>
      <w:r w:rsidR="000B21C0" w:rsidRPr="009B149F">
        <w:t xml:space="preserve"> </w:t>
      </w:r>
      <w:r w:rsidR="000B21C0" w:rsidRPr="009B149F">
        <w:rPr>
          <w:rFonts w:asciiTheme="majorHAnsi" w:hAnsiTheme="majorHAnsi" w:cstheme="majorHAnsi"/>
          <w:sz w:val="22"/>
          <w:szCs w:val="22"/>
        </w:rPr>
        <w:t xml:space="preserve">na podstawie posiadanych przez Producenta rocznych planów produkcji. Informacja </w:t>
      </w:r>
      <w:r w:rsidR="006309CD">
        <w:rPr>
          <w:rFonts w:asciiTheme="majorHAnsi" w:hAnsiTheme="majorHAnsi" w:cstheme="majorHAnsi"/>
          <w:sz w:val="22"/>
          <w:szCs w:val="22"/>
        </w:rPr>
        <w:t xml:space="preserve">dotycząca </w:t>
      </w:r>
      <w:r w:rsidR="006309CD" w:rsidRPr="009B149F">
        <w:rPr>
          <w:rFonts w:asciiTheme="majorHAnsi" w:hAnsiTheme="majorHAnsi" w:cstheme="majorHAnsi"/>
          <w:sz w:val="22"/>
          <w:szCs w:val="22"/>
        </w:rPr>
        <w:t xml:space="preserve">rocznych planów produkcji </w:t>
      </w:r>
      <w:r w:rsidR="000B21C0" w:rsidRPr="009B149F">
        <w:rPr>
          <w:rFonts w:asciiTheme="majorHAnsi" w:hAnsiTheme="majorHAnsi" w:cstheme="majorHAnsi"/>
          <w:sz w:val="22"/>
          <w:szCs w:val="22"/>
        </w:rPr>
        <w:t xml:space="preserve">będzie przesyłana od Producenta do PCBC </w:t>
      </w:r>
      <w:r w:rsidR="006309CD">
        <w:rPr>
          <w:rFonts w:asciiTheme="majorHAnsi" w:hAnsiTheme="majorHAnsi" w:cstheme="majorHAnsi"/>
          <w:sz w:val="22"/>
          <w:szCs w:val="22"/>
        </w:rPr>
        <w:t xml:space="preserve"> n</w:t>
      </w:r>
      <w:r w:rsidR="006309CD" w:rsidRPr="006309CD">
        <w:rPr>
          <w:rFonts w:asciiTheme="majorHAnsi" w:hAnsiTheme="majorHAnsi" w:cstheme="majorHAnsi"/>
          <w:sz w:val="22"/>
          <w:szCs w:val="22"/>
        </w:rPr>
        <w:t>a początku każdego roku kalendarzowego (najpóźniej do końca lutego</w:t>
      </w:r>
      <w:r w:rsidR="006309CD">
        <w:rPr>
          <w:rFonts w:asciiTheme="majorHAnsi" w:hAnsiTheme="majorHAnsi" w:cstheme="majorHAnsi"/>
          <w:sz w:val="22"/>
          <w:szCs w:val="22"/>
        </w:rPr>
        <w:t>)</w:t>
      </w:r>
      <w:r w:rsidR="000B21C0" w:rsidRPr="009B149F">
        <w:rPr>
          <w:rFonts w:asciiTheme="majorHAnsi" w:hAnsiTheme="majorHAnsi" w:cstheme="majorHAnsi"/>
          <w:sz w:val="22"/>
          <w:szCs w:val="22"/>
        </w:rPr>
        <w:t>,</w:t>
      </w:r>
    </w:p>
    <w:p w14:paraId="1603C961" w14:textId="47102CCF" w:rsidR="00D025D3" w:rsidRPr="009B149F" w:rsidRDefault="00DD7BA0" w:rsidP="00FC112D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1276"/>
          <w:tab w:val="left" w:pos="1701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B149F">
        <w:rPr>
          <w:rFonts w:asciiTheme="majorHAnsi" w:hAnsiTheme="majorHAnsi" w:cstheme="majorHAnsi"/>
          <w:sz w:val="22"/>
          <w:szCs w:val="22"/>
        </w:rPr>
        <w:t xml:space="preserve">miejscu i terminie </w:t>
      </w:r>
      <w:r w:rsidR="00CF5871" w:rsidRPr="009B149F">
        <w:rPr>
          <w:rFonts w:asciiTheme="majorHAnsi" w:hAnsiTheme="majorHAnsi" w:cstheme="majorHAnsi"/>
          <w:sz w:val="22"/>
          <w:szCs w:val="22"/>
        </w:rPr>
        <w:t xml:space="preserve">zmian w </w:t>
      </w:r>
      <w:r w:rsidRPr="009B149F">
        <w:rPr>
          <w:rFonts w:asciiTheme="majorHAnsi" w:hAnsiTheme="majorHAnsi" w:cstheme="majorHAnsi"/>
          <w:sz w:val="22"/>
          <w:szCs w:val="22"/>
        </w:rPr>
        <w:t xml:space="preserve">produkcji </w:t>
      </w:r>
      <w:r w:rsidR="00CF5871" w:rsidRPr="009B149F">
        <w:rPr>
          <w:rFonts w:asciiTheme="majorHAnsi" w:hAnsiTheme="majorHAnsi" w:cstheme="majorHAnsi"/>
          <w:sz w:val="22"/>
          <w:szCs w:val="22"/>
        </w:rPr>
        <w:t xml:space="preserve">lub w planach produkcji </w:t>
      </w:r>
      <w:r w:rsidR="00B67374" w:rsidRPr="009B149F">
        <w:rPr>
          <w:rFonts w:asciiTheme="majorHAnsi" w:hAnsiTheme="majorHAnsi" w:cstheme="majorHAnsi"/>
          <w:sz w:val="22"/>
          <w:szCs w:val="22"/>
        </w:rPr>
        <w:t>produktu nawozowego</w:t>
      </w:r>
      <w:r w:rsidR="00224EDD" w:rsidRPr="009B149F">
        <w:rPr>
          <w:rFonts w:asciiTheme="majorHAnsi" w:hAnsiTheme="majorHAnsi" w:cstheme="majorHAnsi"/>
          <w:sz w:val="22"/>
          <w:szCs w:val="22"/>
        </w:rPr>
        <w:t xml:space="preserve"> UE</w:t>
      </w:r>
      <w:r w:rsidRPr="009B149F">
        <w:rPr>
          <w:rFonts w:asciiTheme="majorHAnsi" w:hAnsiTheme="majorHAnsi" w:cstheme="majorHAnsi"/>
          <w:sz w:val="22"/>
          <w:szCs w:val="22"/>
        </w:rPr>
        <w:t xml:space="preserve"> </w:t>
      </w:r>
      <w:r w:rsidR="00BF6B03" w:rsidRPr="009B149F">
        <w:rPr>
          <w:rFonts w:asciiTheme="majorHAnsi" w:hAnsiTheme="majorHAnsi" w:cstheme="majorHAnsi"/>
          <w:sz w:val="22"/>
          <w:szCs w:val="22"/>
        </w:rPr>
        <w:t>z miesięcznym wyprzedzeniem</w:t>
      </w:r>
      <w:r w:rsidR="00863265" w:rsidRPr="009B149F">
        <w:rPr>
          <w:rFonts w:asciiTheme="majorHAnsi" w:hAnsiTheme="majorHAnsi" w:cstheme="majorHAnsi"/>
          <w:sz w:val="22"/>
          <w:szCs w:val="22"/>
        </w:rPr>
        <w:t>,</w:t>
      </w:r>
    </w:p>
    <w:p w14:paraId="6BD68CF6" w14:textId="5293D3D8" w:rsidR="00DD7BA0" w:rsidRPr="00CF5871" w:rsidRDefault="00D025D3" w:rsidP="00FC112D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1276"/>
          <w:tab w:val="left" w:pos="1701"/>
        </w:tabs>
        <w:spacing w:beforeLines="20" w:before="48" w:afterLines="20" w:after="48"/>
        <w:ind w:left="1701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zmianach </w:t>
      </w:r>
      <w:r w:rsidR="00E921D1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adresu 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siedziby</w:t>
      </w:r>
      <w:r w:rsidR="00CE3F56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Producenta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miejsca </w:t>
      </w:r>
      <w:r w:rsidR="00924981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produkcji/magazynowania</w:t>
      </w:r>
      <w:r w:rsidR="00CE3F56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produkty nawozowego UE</w:t>
      </w:r>
      <w:r w:rsidR="00CF5871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20EA9FF2" w14:textId="6E712EA5" w:rsidR="00655579" w:rsidRPr="00BA58C6" w:rsidRDefault="00CF5871" w:rsidP="00CF5871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134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ab/>
      </w:r>
      <w:r w:rsidR="00655579" w:rsidRPr="00CE2931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zastosuje się do decyzji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</w:t>
      </w:r>
      <w:r w:rsidR="00655579" w:rsidRPr="00CE2931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podejmowanych w związku ze zmianą wymagań przepisów prawnych dotyczących oceny zgodności </w:t>
      </w:r>
      <w:r w:rsidR="007F530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 UE</w:t>
      </w:r>
      <w:r w:rsidR="00A145D7" w:rsidRPr="00CE2931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 oraz ze zmianą norm zharmonizowanych</w:t>
      </w:r>
      <w:r w:rsidR="00635466" w:rsidRPr="00CE2931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;</w:t>
      </w:r>
    </w:p>
    <w:p w14:paraId="6406D403" w14:textId="07176F2C" w:rsidR="006E0949" w:rsidRPr="00BA58C6" w:rsidRDefault="00CF5871" w:rsidP="00BA58C6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134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BF6EF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podejmie działania, w tym </w:t>
      </w:r>
      <w:r w:rsidR="00655579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dostarczy uzupełnienie dokumentacji technicznej i/lub systemowej na wezwanie </w:t>
      </w:r>
      <w:r w:rsidR="00150538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PCBC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jako </w:t>
      </w:r>
      <w:r w:rsidR="00655579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jednostki notyfikowanej na skutek zaleceń </w:t>
      </w:r>
      <w:proofErr w:type="spellStart"/>
      <w:r w:rsidR="00655579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poauditowych</w:t>
      </w:r>
      <w:proofErr w:type="spellEnd"/>
      <w:r w:rsidR="00655579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lub zaleceń kontroli organów nadzoru </w:t>
      </w:r>
      <w:r w:rsidR="00A81AF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producenta </w:t>
      </w:r>
      <w:r w:rsidR="00655579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lub </w:t>
      </w:r>
      <w:r w:rsidR="00EC193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podmiotów/organów nad</w:t>
      </w:r>
      <w:r w:rsidR="00BC666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z</w:t>
      </w:r>
      <w:r w:rsidR="00EC193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oru </w:t>
      </w:r>
      <w:r w:rsidR="00655579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jednostki notyfikowanej</w:t>
      </w:r>
      <w:r w:rsidR="00EC193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(w tym PCA)</w:t>
      </w:r>
      <w:r w:rsidR="00635466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750073C5" w14:textId="67FAAE23" w:rsidR="009A1192" w:rsidRDefault="00CF5871" w:rsidP="00BA58C6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134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35177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odniesieniu do stanowiska/opinii oceny merytorycznej </w:t>
      </w:r>
      <w:r w:rsidR="00E525E2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eksperta/auditora/pracownika </w:t>
      </w:r>
      <w:r w:rsidR="009A1192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powołanego przez PCBC do  udziału w </w:t>
      </w:r>
      <w:proofErr w:type="spellStart"/>
      <w:r w:rsidR="009A1192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audicie</w:t>
      </w:r>
      <w:proofErr w:type="spellEnd"/>
      <w:r w:rsidR="009A1192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lub do oceny dokumentacji </w:t>
      </w:r>
      <w:r w:rsidR="00B6737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B133C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="00B6737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5177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zgł</w:t>
      </w:r>
      <w:r w:rsidR="00884E4C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osi</w:t>
      </w:r>
      <w:r w:rsidR="0035177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wyłącznie </w:t>
      </w:r>
      <w:r w:rsidR="00884E4C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merytoryczne </w:t>
      </w:r>
      <w:r w:rsidR="0035177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uwagi</w:t>
      </w:r>
      <w:r w:rsidR="009A1192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6548B18F" w14:textId="25CC7366" w:rsidR="00CF5871" w:rsidRDefault="00304F92" w:rsidP="00BA58C6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134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="00762AB4" w:rsidRPr="00CF5871">
        <w:rPr>
          <w:rFonts w:asciiTheme="majorHAnsi" w:hAnsiTheme="majorHAnsi" w:cstheme="majorHAnsi"/>
          <w:sz w:val="22"/>
          <w:szCs w:val="22"/>
        </w:rPr>
        <w:t>uzna</w:t>
      </w:r>
      <w:r w:rsidR="00CA4D95" w:rsidRPr="00CF5871">
        <w:rPr>
          <w:rFonts w:asciiTheme="majorHAnsi" w:hAnsiTheme="majorHAnsi" w:cstheme="majorHAnsi"/>
          <w:sz w:val="22"/>
          <w:szCs w:val="22"/>
        </w:rPr>
        <w:t>,</w:t>
      </w:r>
      <w:r w:rsidR="00762AB4" w:rsidRPr="00CF5871">
        <w:rPr>
          <w:rFonts w:asciiTheme="majorHAnsi" w:hAnsiTheme="majorHAnsi" w:cstheme="majorHAnsi"/>
          <w:sz w:val="22"/>
          <w:szCs w:val="22"/>
        </w:rPr>
        <w:t xml:space="preserve"> że k</w:t>
      </w:r>
      <w:r w:rsidR="00635466" w:rsidRPr="00CF5871">
        <w:rPr>
          <w:rFonts w:asciiTheme="majorHAnsi" w:hAnsiTheme="majorHAnsi" w:cstheme="majorHAnsi"/>
          <w:sz w:val="22"/>
          <w:szCs w:val="22"/>
        </w:rPr>
        <w:t xml:space="preserve">lasyfikacja </w:t>
      </w:r>
      <w:r w:rsidR="00B67374" w:rsidRPr="00CF5871">
        <w:rPr>
          <w:rFonts w:asciiTheme="majorHAnsi" w:hAnsiTheme="majorHAnsi" w:cstheme="majorHAnsi"/>
          <w:sz w:val="22"/>
          <w:szCs w:val="22"/>
        </w:rPr>
        <w:t>produktu</w:t>
      </w:r>
      <w:r w:rsidR="00150538" w:rsidRPr="00CF5871">
        <w:rPr>
          <w:rFonts w:asciiTheme="majorHAnsi" w:hAnsiTheme="majorHAnsi" w:cstheme="majorHAnsi"/>
          <w:sz w:val="22"/>
          <w:szCs w:val="22"/>
        </w:rPr>
        <w:t xml:space="preserve"> nawozowego UE</w:t>
      </w:r>
      <w:r w:rsidR="00635466" w:rsidRPr="00CF5871">
        <w:rPr>
          <w:rFonts w:asciiTheme="majorHAnsi" w:hAnsiTheme="majorHAnsi" w:cstheme="majorHAnsi"/>
          <w:sz w:val="22"/>
          <w:szCs w:val="22"/>
        </w:rPr>
        <w:t xml:space="preserve"> jest weryfikowana przez </w:t>
      </w:r>
      <w:r w:rsidR="00150538" w:rsidRPr="00CF5871">
        <w:rPr>
          <w:rFonts w:asciiTheme="majorHAnsi" w:hAnsiTheme="majorHAnsi" w:cstheme="majorHAnsi"/>
          <w:sz w:val="22"/>
          <w:szCs w:val="22"/>
        </w:rPr>
        <w:t xml:space="preserve">PCBC, jako </w:t>
      </w:r>
      <w:r w:rsidR="00635466" w:rsidRPr="00CF5871">
        <w:rPr>
          <w:rFonts w:asciiTheme="majorHAnsi" w:hAnsiTheme="majorHAnsi" w:cstheme="majorHAnsi"/>
          <w:sz w:val="22"/>
          <w:szCs w:val="22"/>
        </w:rPr>
        <w:t xml:space="preserve">jednostkę notyfikowaną w trakcie procedury oceny zgodności </w:t>
      </w:r>
      <w:r w:rsidR="00B67374" w:rsidRPr="00CF5871">
        <w:rPr>
          <w:rFonts w:asciiTheme="majorHAnsi" w:hAnsiTheme="majorHAnsi" w:cstheme="majorHAnsi"/>
          <w:sz w:val="22"/>
          <w:szCs w:val="22"/>
        </w:rPr>
        <w:t>produktu nawozowego</w:t>
      </w:r>
      <w:r w:rsidR="00E75278" w:rsidRPr="00CF5871">
        <w:rPr>
          <w:rFonts w:asciiTheme="majorHAnsi" w:hAnsiTheme="majorHAnsi" w:cstheme="majorHAnsi"/>
          <w:sz w:val="22"/>
          <w:szCs w:val="22"/>
        </w:rPr>
        <w:t xml:space="preserve"> UE</w:t>
      </w:r>
      <w:r w:rsidR="00635466" w:rsidRPr="00CF5871">
        <w:rPr>
          <w:rFonts w:asciiTheme="majorHAnsi" w:hAnsiTheme="majorHAnsi" w:cstheme="majorHAnsi"/>
          <w:sz w:val="22"/>
          <w:szCs w:val="22"/>
        </w:rPr>
        <w:t xml:space="preserve">. Rozbieżności dotyczące sklasyfikowania danego </w:t>
      </w:r>
      <w:r w:rsidR="00B67374" w:rsidRPr="00CF5871">
        <w:rPr>
          <w:rFonts w:asciiTheme="majorHAnsi" w:hAnsiTheme="majorHAnsi" w:cstheme="majorHAnsi"/>
          <w:sz w:val="22"/>
          <w:szCs w:val="22"/>
        </w:rPr>
        <w:t>produktu nawozowego</w:t>
      </w:r>
      <w:r w:rsidR="00990D1B" w:rsidRPr="00CF5871">
        <w:rPr>
          <w:rFonts w:asciiTheme="majorHAnsi" w:hAnsiTheme="majorHAnsi" w:cstheme="majorHAnsi"/>
          <w:sz w:val="22"/>
          <w:szCs w:val="22"/>
        </w:rPr>
        <w:t xml:space="preserve"> UE</w:t>
      </w:r>
      <w:r w:rsidR="00635466" w:rsidRPr="00CF5871">
        <w:rPr>
          <w:rFonts w:asciiTheme="majorHAnsi" w:hAnsiTheme="majorHAnsi" w:cstheme="majorHAnsi"/>
          <w:sz w:val="22"/>
          <w:szCs w:val="22"/>
        </w:rPr>
        <w:t xml:space="preserve"> albo zakwalifikowania </w:t>
      </w:r>
      <w:r w:rsidR="00B67374" w:rsidRPr="00CF5871">
        <w:rPr>
          <w:rFonts w:asciiTheme="majorHAnsi" w:hAnsiTheme="majorHAnsi" w:cstheme="majorHAnsi"/>
          <w:sz w:val="22"/>
          <w:szCs w:val="22"/>
        </w:rPr>
        <w:t>produktu nawozowego</w:t>
      </w:r>
      <w:r w:rsidR="008814C7" w:rsidRPr="00CF5871">
        <w:rPr>
          <w:rFonts w:asciiTheme="majorHAnsi" w:hAnsiTheme="majorHAnsi" w:cstheme="majorHAnsi"/>
          <w:sz w:val="22"/>
          <w:szCs w:val="22"/>
        </w:rPr>
        <w:t xml:space="preserve"> UE</w:t>
      </w:r>
      <w:r w:rsidR="00635466" w:rsidRPr="00CF5871">
        <w:rPr>
          <w:rFonts w:asciiTheme="majorHAnsi" w:hAnsiTheme="majorHAnsi" w:cstheme="majorHAnsi"/>
          <w:sz w:val="22"/>
          <w:szCs w:val="22"/>
        </w:rPr>
        <w:t xml:space="preserve"> </w:t>
      </w:r>
      <w:r w:rsidR="00990D1B" w:rsidRPr="00CF5871">
        <w:rPr>
          <w:rFonts w:asciiTheme="majorHAnsi" w:hAnsiTheme="majorHAnsi" w:cstheme="majorHAnsi"/>
          <w:sz w:val="22"/>
          <w:szCs w:val="22"/>
        </w:rPr>
        <w:t>do innej grupy PFC/CMC</w:t>
      </w:r>
      <w:r w:rsidR="00635466" w:rsidRPr="00CF5871">
        <w:rPr>
          <w:rFonts w:asciiTheme="majorHAnsi" w:hAnsiTheme="majorHAnsi" w:cstheme="majorHAnsi"/>
          <w:sz w:val="22"/>
          <w:szCs w:val="22"/>
        </w:rPr>
        <w:t xml:space="preserve">, powstałe między </w:t>
      </w:r>
      <w:r w:rsidR="00B67374" w:rsidRPr="00CF5871">
        <w:rPr>
          <w:rFonts w:asciiTheme="majorHAnsi" w:hAnsiTheme="majorHAnsi" w:cstheme="majorHAnsi"/>
          <w:sz w:val="22"/>
          <w:szCs w:val="22"/>
        </w:rPr>
        <w:t>Producent</w:t>
      </w:r>
      <w:r w:rsidR="00635466" w:rsidRPr="00CF5871">
        <w:rPr>
          <w:rFonts w:asciiTheme="majorHAnsi" w:hAnsiTheme="majorHAnsi" w:cstheme="majorHAnsi"/>
          <w:sz w:val="22"/>
          <w:szCs w:val="22"/>
        </w:rPr>
        <w:t>em</w:t>
      </w:r>
      <w:r w:rsidR="00937CCF" w:rsidRPr="00CF5871">
        <w:rPr>
          <w:rFonts w:asciiTheme="majorHAnsi" w:hAnsiTheme="majorHAnsi" w:cstheme="majorHAnsi"/>
          <w:sz w:val="22"/>
          <w:szCs w:val="22"/>
        </w:rPr>
        <w:t>,</w:t>
      </w:r>
      <w:r w:rsidR="00635466" w:rsidRPr="00CF5871">
        <w:rPr>
          <w:rFonts w:asciiTheme="majorHAnsi" w:hAnsiTheme="majorHAnsi" w:cstheme="majorHAnsi"/>
          <w:sz w:val="22"/>
          <w:szCs w:val="22"/>
        </w:rPr>
        <w:t xml:space="preserve"> a jednostką notyfikowaną </w:t>
      </w:r>
      <w:r w:rsidR="00FB5894" w:rsidRPr="00CF5871">
        <w:rPr>
          <w:rFonts w:asciiTheme="majorHAnsi" w:hAnsiTheme="majorHAnsi" w:cstheme="majorHAnsi"/>
          <w:sz w:val="22"/>
          <w:szCs w:val="22"/>
        </w:rPr>
        <w:t>będą rozstrzygnięte na podstawie dostarczonych dowodów</w:t>
      </w:r>
      <w:r w:rsidR="00CF5871">
        <w:rPr>
          <w:rFonts w:asciiTheme="majorHAnsi" w:hAnsiTheme="majorHAnsi" w:cstheme="majorHAnsi"/>
          <w:sz w:val="22"/>
          <w:szCs w:val="22"/>
        </w:rPr>
        <w:t>;</w:t>
      </w:r>
    </w:p>
    <w:p w14:paraId="1DB51FA3" w14:textId="256B1578" w:rsidR="00BA58C6" w:rsidRDefault="00CF5871" w:rsidP="00BA58C6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134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504F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udostępni PCBC i powołanym ekspertom/auditorom/pracownikom miejsc</w:t>
      </w:r>
      <w:r w:rsidR="00AD29B3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9504F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81AF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produkcji</w:t>
      </w:r>
      <w:r w:rsidR="004942E0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r w:rsidR="00762AB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942E0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magazynowania</w:t>
      </w:r>
      <w:r w:rsidR="00A81AF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produkt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ego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C7322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UE</w:t>
      </w:r>
      <w:r w:rsidR="009504F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ramach wykonywanych </w:t>
      </w:r>
      <w:proofErr w:type="spellStart"/>
      <w:r w:rsidR="00BC666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auditów</w:t>
      </w:r>
      <w:proofErr w:type="spellEnd"/>
      <w:r w:rsidR="00BC666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504F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nadzorów/</w:t>
      </w:r>
      <w:r w:rsidR="00762AB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BC666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aud</w:t>
      </w:r>
      <w:r w:rsidR="008814C7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BC666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tów</w:t>
      </w:r>
      <w:proofErr w:type="spellEnd"/>
      <w:r w:rsidR="00BC666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/wizyt </w:t>
      </w:r>
      <w:r w:rsidR="009504F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niezapowiedzianych. W przypadku konieczności korzystania przez w/w osoby ze specjalnego ubioru/procedur, </w:t>
      </w:r>
      <w:r w:rsidR="00B67374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9504F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zobowiązany jest do poinformowan</w:t>
      </w:r>
      <w:r w:rsidR="005646F5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ia</w:t>
      </w:r>
      <w:r w:rsidR="009504F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tym fakcie</w:t>
      </w:r>
      <w:r w:rsidR="00884E4C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6263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terminie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 najmniej </w:t>
      </w:r>
      <w:r w:rsidR="0056263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7 dni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przed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dat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ą</w:t>
      </w:r>
      <w:r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6263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planowanego </w:t>
      </w:r>
      <w:proofErr w:type="spellStart"/>
      <w:r w:rsidR="0056263E" w:rsidRPr="00CF5871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="00BA58C6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4DE5FA89" w14:textId="1C518A8B" w:rsidR="00BA58C6" w:rsidRDefault="00BA58C6" w:rsidP="00BA58C6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134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525E2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>zastosuje się do decyzji PCBC o prawie wprowadzenia zmian</w:t>
      </w:r>
      <w:r w:rsidR="00B133C3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E525E2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których mowa w pkt 2.</w:t>
      </w:r>
      <w:r w:rsidR="00937CCF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5924AD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lit. </w:t>
      </w:r>
      <w:r w:rsidR="00A80330">
        <w:rPr>
          <w:rFonts w:asciiTheme="majorHAnsi" w:hAnsiTheme="majorHAnsi" w:cstheme="majorHAnsi"/>
          <w:color w:val="000000" w:themeColor="text1"/>
          <w:sz w:val="22"/>
          <w:szCs w:val="22"/>
        </w:rPr>
        <w:t>b</w:t>
      </w:r>
      <w:r w:rsidR="005924AD" w:rsidRPr="00EC01E9">
        <w:rPr>
          <w:rFonts w:asciiTheme="majorHAnsi" w:hAnsiTheme="majorHAnsi" w:cstheme="majorHAnsi"/>
          <w:color w:val="000000" w:themeColor="text1"/>
          <w:sz w:val="22"/>
          <w:szCs w:val="22"/>
        </w:rPr>
        <w:t>)-</w:t>
      </w:r>
      <w:r w:rsidR="008C44E9" w:rsidRPr="00EC01E9">
        <w:rPr>
          <w:rFonts w:asciiTheme="majorHAnsi" w:hAnsiTheme="majorHAnsi" w:cstheme="majorHAnsi"/>
          <w:color w:val="000000" w:themeColor="text1"/>
          <w:sz w:val="22"/>
          <w:szCs w:val="22"/>
        </w:rPr>
        <w:t>f</w:t>
      </w:r>
      <w:r w:rsidR="005924AD" w:rsidRPr="00EC01E9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E525E2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powyżej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10556C5D" w14:textId="49C8376D" w:rsidR="00526A79" w:rsidRPr="00FC112D" w:rsidRDefault="00BA58C6" w:rsidP="00BA58C6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134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A0442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>umożliwi pracownikom PCBC</w:t>
      </w:r>
      <w:r w:rsidR="00150538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>, jako jednostki notyfikowanej</w:t>
      </w:r>
      <w:r w:rsidR="002A0442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2A0442" w:rsidRPr="00BA58C6">
        <w:rPr>
          <w:rFonts w:ascii="Calibri" w:hAnsi="Calibri"/>
          <w:sz w:val="22"/>
        </w:rPr>
        <w:t xml:space="preserve">auditorom </w:t>
      </w:r>
      <w:r w:rsidR="0082608E" w:rsidRPr="00BA58C6">
        <w:rPr>
          <w:rFonts w:ascii="Calibri" w:hAnsi="Calibri"/>
          <w:sz w:val="22"/>
        </w:rPr>
        <w:t xml:space="preserve">jednostek nadzoru (PCA), </w:t>
      </w:r>
      <w:r>
        <w:rPr>
          <w:rFonts w:ascii="Calibri" w:hAnsi="Calibri"/>
          <w:sz w:val="22"/>
        </w:rPr>
        <w:t xml:space="preserve">pracownikom lub upoważnionym przedstawicielom </w:t>
      </w:r>
      <w:r w:rsidR="0082608E" w:rsidRPr="00BA58C6">
        <w:rPr>
          <w:rFonts w:ascii="Calibri" w:hAnsi="Calibri"/>
          <w:sz w:val="22"/>
        </w:rPr>
        <w:t xml:space="preserve">organów administracji </w:t>
      </w:r>
      <w:r>
        <w:rPr>
          <w:rFonts w:ascii="Calibri" w:hAnsi="Calibri"/>
          <w:sz w:val="22"/>
        </w:rPr>
        <w:t>p</w:t>
      </w:r>
      <w:r w:rsidRPr="00BA58C6">
        <w:rPr>
          <w:rFonts w:ascii="Calibri" w:hAnsi="Calibri"/>
          <w:sz w:val="22"/>
        </w:rPr>
        <w:t xml:space="preserve">aństwa </w:t>
      </w:r>
      <w:r w:rsidR="0082608E" w:rsidRPr="00BA58C6">
        <w:rPr>
          <w:rFonts w:ascii="Calibri" w:hAnsi="Calibri"/>
          <w:sz w:val="22"/>
        </w:rPr>
        <w:t xml:space="preserve">/ organów administracji UE </w:t>
      </w:r>
      <w:r>
        <w:rPr>
          <w:rFonts w:ascii="Calibri" w:hAnsi="Calibri"/>
          <w:sz w:val="22"/>
        </w:rPr>
        <w:t xml:space="preserve">lub organów nadzoru jednostki notyfikowanej </w:t>
      </w:r>
      <w:r w:rsidR="002A0442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wstęp do </w:t>
      </w:r>
      <w:r w:rsidR="00526A79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>miejsca produkcji / magazynowania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produktu nawozowego UE</w:t>
      </w:r>
      <w:r w:rsidR="002A0442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 także udostępni informacje i zapewni wgląd do dokumentacji w celu stwierdzenia, czy spełnione są warunki uzyskania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>ertyfikatu</w:t>
      </w:r>
      <w:r w:rsidR="002A0442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C10A65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26A79" w:rsidRPr="00BA58C6">
        <w:rPr>
          <w:rFonts w:ascii="Calibri" w:hAnsi="Calibri"/>
          <w:sz w:val="22"/>
        </w:rPr>
        <w:lastRenderedPageBreak/>
        <w:t xml:space="preserve">Udział obserwatorów o których mowa w </w:t>
      </w:r>
      <w:r>
        <w:rPr>
          <w:rFonts w:ascii="Calibri" w:hAnsi="Calibri"/>
          <w:sz w:val="22"/>
        </w:rPr>
        <w:t xml:space="preserve">niniejszym </w:t>
      </w:r>
      <w:r w:rsidR="00526A79" w:rsidRPr="00BA58C6">
        <w:rPr>
          <w:rFonts w:ascii="Calibri" w:hAnsi="Calibri"/>
          <w:sz w:val="22"/>
        </w:rPr>
        <w:t>pkt 2.14 nie może utrudniać prowadzonych działań związanych z oceną</w:t>
      </w:r>
      <w:r>
        <w:rPr>
          <w:rFonts w:ascii="Calibri" w:hAnsi="Calibri"/>
          <w:sz w:val="22"/>
        </w:rPr>
        <w:t xml:space="preserve"> </w:t>
      </w:r>
      <w:r w:rsidR="00E926AB">
        <w:rPr>
          <w:rFonts w:ascii="Calibri" w:hAnsi="Calibri"/>
          <w:sz w:val="22"/>
        </w:rPr>
        <w:t>zgodności</w:t>
      </w:r>
      <w:r w:rsidR="00526A79" w:rsidRPr="00BA58C6">
        <w:rPr>
          <w:rFonts w:ascii="Calibri" w:hAnsi="Calibri"/>
          <w:sz w:val="22"/>
        </w:rPr>
        <w:t>. Udział ww. osób nie obciąża finansowo Producenta.</w:t>
      </w:r>
    </w:p>
    <w:p w14:paraId="1292FC57" w14:textId="3030DAA1" w:rsidR="00060A34" w:rsidRPr="00815087" w:rsidRDefault="00BA58C6" w:rsidP="00815087">
      <w:pPr>
        <w:pStyle w:val="Tekstpodstawowy3"/>
        <w:widowControl w:val="0"/>
        <w:numPr>
          <w:ilvl w:val="1"/>
          <w:numId w:val="10"/>
        </w:numPr>
        <w:tabs>
          <w:tab w:val="clear" w:pos="360"/>
          <w:tab w:val="num" w:pos="1134"/>
        </w:tabs>
        <w:spacing w:beforeLines="20" w:before="48" w:afterLines="20" w:after="48"/>
        <w:ind w:left="1276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150538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zastosuje </w:t>
      </w:r>
      <w:r w:rsidR="00060A34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>się do wszystkich żądań PC</w:t>
      </w:r>
      <w:r w:rsidR="00267A92" w:rsidRPr="00BA58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BC kierowanych zgodnie z wymaganiami </w:t>
      </w:r>
      <w:r w:rsidR="0082608E" w:rsidRPr="00BA58C6">
        <w:rPr>
          <w:rFonts w:asciiTheme="majorHAnsi" w:hAnsiTheme="majorHAnsi" w:cstheme="majorHAnsi"/>
          <w:sz w:val="22"/>
          <w:szCs w:val="22"/>
        </w:rPr>
        <w:t xml:space="preserve">Rozporządzenia </w:t>
      </w:r>
      <w:r w:rsidR="00267A92" w:rsidRPr="00BA58C6">
        <w:rPr>
          <w:rFonts w:asciiTheme="majorHAnsi" w:hAnsiTheme="majorHAnsi" w:cstheme="majorHAnsi"/>
          <w:sz w:val="22"/>
          <w:szCs w:val="22"/>
        </w:rPr>
        <w:t>(UE) 2019/1009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5942EAE" w14:textId="77777777" w:rsidR="00602194" w:rsidRPr="00CE2931" w:rsidRDefault="00602194" w:rsidP="00454F09">
      <w:pPr>
        <w:widowControl w:val="0"/>
        <w:spacing w:beforeLines="20" w:before="48" w:afterLines="20" w:after="48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0CF9F14" w14:textId="77777777" w:rsidR="00655579" w:rsidRDefault="00655579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sym w:font="Times New Roman" w:char="00A7"/>
      </w:r>
      <w:r w:rsidR="006F1558"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5. Odwołania/Skargi</w:t>
      </w:r>
    </w:p>
    <w:p w14:paraId="2292DE1A" w14:textId="77777777" w:rsidR="00815087" w:rsidRPr="00CE2931" w:rsidRDefault="00815087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816A23F" w14:textId="7FCF3CC1" w:rsidR="00B17A08" w:rsidRDefault="00B67374" w:rsidP="00FC112D">
      <w:pPr>
        <w:widowControl w:val="0"/>
        <w:numPr>
          <w:ilvl w:val="1"/>
          <w:numId w:val="6"/>
        </w:numPr>
        <w:tabs>
          <w:tab w:val="clear" w:pos="1440"/>
          <w:tab w:val="num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owi przysługuje prawo wniesienia</w:t>
      </w:r>
      <w:r w:rsidR="00B17A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skargi </w:t>
      </w:r>
      <w:r w:rsidR="005A2AF5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5A2AF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17A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proces</w:t>
      </w:r>
      <w:r w:rsidR="005A2AF5">
        <w:rPr>
          <w:rFonts w:asciiTheme="majorHAnsi" w:hAnsiTheme="majorHAnsi" w:cstheme="majorHAnsi"/>
          <w:color w:val="000000" w:themeColor="text1"/>
          <w:sz w:val="22"/>
          <w:szCs w:val="22"/>
        </w:rPr>
        <w:t>ie</w:t>
      </w:r>
      <w:r w:rsidR="00B17A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prowadzonej </w:t>
      </w:r>
      <w:r w:rsidR="008814C7">
        <w:rPr>
          <w:rFonts w:asciiTheme="majorHAnsi" w:hAnsiTheme="majorHAnsi" w:cstheme="majorHAnsi"/>
          <w:color w:val="000000" w:themeColor="text1"/>
          <w:sz w:val="22"/>
          <w:szCs w:val="22"/>
        </w:rPr>
        <w:t>oceny zgodności</w:t>
      </w:r>
      <w:r w:rsidR="00B17A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Tryb wnoszenia skargi określa procedura wewnętrzna PCBC </w:t>
      </w:r>
      <w:r w:rsidR="00815087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B17A0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POS-11 (informacje o trybie wnoszenia skarg wskazane są na stronie internetowej PCBC)</w:t>
      </w:r>
      <w:r w:rsidR="006F155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75B3EE1" w14:textId="51A832CA" w:rsidR="00655579" w:rsidRPr="00815087" w:rsidRDefault="00B67374" w:rsidP="00FC112D">
      <w:pPr>
        <w:widowControl w:val="0"/>
        <w:numPr>
          <w:ilvl w:val="1"/>
          <w:numId w:val="6"/>
        </w:numPr>
        <w:tabs>
          <w:tab w:val="clear" w:pos="1440"/>
          <w:tab w:val="num" w:pos="709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15087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B17A08" w:rsidRPr="0081508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owi przysługuje prawo wniesienia odwołania od decyzji </w:t>
      </w:r>
      <w:r w:rsidR="0081508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</w:t>
      </w:r>
      <w:r w:rsidR="00B17A08" w:rsidRPr="0081508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wydawanych w procesie </w:t>
      </w:r>
      <w:r w:rsidR="008814C7" w:rsidRPr="00815087">
        <w:rPr>
          <w:rFonts w:asciiTheme="majorHAnsi" w:hAnsiTheme="majorHAnsi" w:cstheme="majorHAnsi"/>
          <w:color w:val="000000" w:themeColor="text1"/>
          <w:sz w:val="22"/>
          <w:szCs w:val="22"/>
        </w:rPr>
        <w:t>oceny zgodności</w:t>
      </w:r>
      <w:r w:rsidR="00B17A08" w:rsidRPr="0081508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Tryb wnoszenia odwołania określa procedura wewnętrzna PCBC </w:t>
      </w:r>
      <w:r w:rsidR="00815087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B17A08" w:rsidRPr="0081508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POS-11 (informacje o trybie wnoszenia </w:t>
      </w:r>
      <w:proofErr w:type="spellStart"/>
      <w:r w:rsidR="00556AF9" w:rsidRPr="00815087">
        <w:rPr>
          <w:rFonts w:asciiTheme="majorHAnsi" w:hAnsiTheme="majorHAnsi" w:cstheme="majorHAnsi"/>
          <w:color w:val="000000" w:themeColor="text1"/>
          <w:sz w:val="22"/>
          <w:szCs w:val="22"/>
        </w:rPr>
        <w:t>odwołań</w:t>
      </w:r>
      <w:proofErr w:type="spellEnd"/>
      <w:r w:rsidR="00556AF9" w:rsidRPr="0081508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17A08" w:rsidRPr="00815087">
        <w:rPr>
          <w:rFonts w:asciiTheme="majorHAnsi" w:hAnsiTheme="majorHAnsi" w:cstheme="majorHAnsi"/>
          <w:color w:val="000000" w:themeColor="text1"/>
          <w:sz w:val="22"/>
          <w:szCs w:val="22"/>
        </w:rPr>
        <w:t>wskazane są na stronie internetowej PCBC).</w:t>
      </w:r>
    </w:p>
    <w:p w14:paraId="0B06E1B6" w14:textId="77777777" w:rsidR="006F7CFD" w:rsidRDefault="006F7CFD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54610C1" w14:textId="3513E8F5" w:rsidR="00655579" w:rsidRDefault="00655579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sym w:font="Times New Roman" w:char="00A7"/>
      </w: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6. Zasady posługiwania się </w:t>
      </w:r>
      <w:r w:rsidR="0081508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</w:t>
      </w:r>
      <w:r w:rsidR="00815087"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ertyfikatem </w:t>
      </w:r>
      <w:r w:rsidRPr="00CE2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 znakiem CE</w:t>
      </w:r>
    </w:p>
    <w:p w14:paraId="6B093E62" w14:textId="77777777" w:rsidR="00815087" w:rsidRPr="00CE2931" w:rsidRDefault="00815087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BFD99FF" w14:textId="1BB4A41E" w:rsidR="00655579" w:rsidRDefault="00B67374" w:rsidP="00815087">
      <w:pPr>
        <w:widowControl w:val="0"/>
        <w:numPr>
          <w:ilvl w:val="2"/>
          <w:numId w:val="19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może w żaden sposób ingerować w treść ani </w:t>
      </w:r>
      <w:r w:rsidR="005A2AF5" w:rsidRPr="005A2AF5">
        <w:rPr>
          <w:rFonts w:asciiTheme="majorHAnsi" w:hAnsiTheme="majorHAnsi" w:cstheme="majorHAnsi"/>
          <w:color w:val="000000" w:themeColor="text1"/>
          <w:sz w:val="22"/>
          <w:szCs w:val="22"/>
        </w:rPr>
        <w:t>interpretować</w:t>
      </w:r>
      <w:r w:rsidR="005A2AF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15087">
        <w:rPr>
          <w:rFonts w:asciiTheme="majorHAnsi" w:hAnsiTheme="majorHAnsi" w:cstheme="majorHAnsi"/>
          <w:color w:val="000000" w:themeColor="text1"/>
          <w:sz w:val="22"/>
          <w:szCs w:val="22"/>
        </w:rPr>
        <w:t>treści C</w:t>
      </w:r>
      <w:r w:rsidR="00815087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ertyfikatu</w:t>
      </w:r>
      <w:r w:rsidR="00815087" w:rsidRPr="005A2AF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047C9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5A2AF5" w:rsidRPr="005A2AF5">
        <w:rPr>
          <w:rFonts w:asciiTheme="majorHAnsi" w:hAnsiTheme="majorHAnsi" w:cstheme="majorHAnsi"/>
          <w:color w:val="000000" w:themeColor="text1"/>
          <w:sz w:val="22"/>
          <w:szCs w:val="22"/>
        </w:rPr>
        <w:t>w sposób wprowadzający w błąd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4B09BC54" w14:textId="0CAFD375" w:rsidR="00756BA2" w:rsidRDefault="00655579" w:rsidP="009E5F4E">
      <w:pPr>
        <w:widowControl w:val="0"/>
        <w:numPr>
          <w:ilvl w:val="2"/>
          <w:numId w:val="19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sporządza duplikaty certyfikatu na wniosek </w:t>
      </w:r>
      <w:r w:rsidR="00B67374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a, pobierając za duplikat opłatę zgodnie z </w:t>
      </w:r>
      <w:r w:rsidR="005508C2">
        <w:rPr>
          <w:rFonts w:asciiTheme="majorHAnsi" w:hAnsiTheme="majorHAnsi" w:cstheme="majorHAnsi"/>
          <w:color w:val="000000" w:themeColor="text1"/>
          <w:sz w:val="22"/>
          <w:szCs w:val="22"/>
        </w:rPr>
        <w:t>zatwierdzonym</w:t>
      </w:r>
      <w:r w:rsidR="005508C2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>Kosztorysem</w:t>
      </w:r>
      <w:r w:rsidR="001F0F7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(każdym </w:t>
      </w:r>
      <w:r w:rsidR="001F0F7D">
        <w:rPr>
          <w:rFonts w:asciiTheme="majorHAnsi" w:hAnsiTheme="majorHAnsi" w:cstheme="majorHAnsi"/>
          <w:sz w:val="22"/>
          <w:szCs w:val="22"/>
        </w:rPr>
        <w:t>kolejnym kosztorysem, sporządzonym przez PCBC i zaakceptowany przez Producenta zgodnie z postanowieniami § 1 ust. 4 lub ust. 5 niniejszej umowy)</w:t>
      </w:r>
      <w:r w:rsidR="00756BA2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4F8AC38C" w14:textId="53CFAD99" w:rsidR="00655579" w:rsidRDefault="00B67374" w:rsidP="009E5F4E">
      <w:pPr>
        <w:widowControl w:val="0"/>
        <w:numPr>
          <w:ilvl w:val="2"/>
          <w:numId w:val="19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 prawo sporządzać kopie 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9E5F4E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 </w:t>
      </w:r>
      <w:r w:rsidR="0065557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tylko w całości, bez prawa nanoszenia zmian. </w:t>
      </w:r>
    </w:p>
    <w:p w14:paraId="1ADD7846" w14:textId="58F65F19" w:rsidR="00150538" w:rsidRDefault="00655579" w:rsidP="009E5F4E">
      <w:pPr>
        <w:widowControl w:val="0"/>
        <w:numPr>
          <w:ilvl w:val="2"/>
          <w:numId w:val="19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produkowanym przez </w:t>
      </w:r>
      <w:r w:rsidR="00B67374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</w:t>
      </w:r>
      <w:r w:rsidR="00AC7322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produkcie nawozowym UE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, który uzyskał pozytywną ocenę zgodności</w:t>
      </w:r>
      <w:r w:rsidR="00F4591D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musi być trwale umieszczony znak CE z numerem identyfikacyjnym Jednostki Notyfikowanej PCBC – 1434</w:t>
      </w:r>
      <w:r w:rsidR="00224EDD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(w module </w:t>
      </w:r>
      <w:r w:rsidR="005707F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A1 i </w:t>
      </w:r>
      <w:r w:rsidR="00224EDD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D1)</w:t>
      </w:r>
      <w:r w:rsidR="00150538" w:rsidRPr="00150538">
        <w:t xml:space="preserve"> </w:t>
      </w:r>
      <w:r w:rsidR="00150538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lub w przypadku, gdy 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9E5F4E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rodukt </w:t>
      </w:r>
      <w:r w:rsidR="00150538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nawozowy UE jest dostarczany bez opakowania, w dokumencie dołączonym do 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9E5F4E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roduktu </w:t>
      </w:r>
      <w:r w:rsidR="00150538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nawozowego UE (w module D1).</w:t>
      </w:r>
    </w:p>
    <w:p w14:paraId="601E54D3" w14:textId="6AEF1486" w:rsidR="00655579" w:rsidRDefault="00655579" w:rsidP="009E5F4E">
      <w:pPr>
        <w:widowControl w:val="0"/>
        <w:numPr>
          <w:ilvl w:val="2"/>
          <w:numId w:val="19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chwilą wygaśnięcia ważności </w:t>
      </w:r>
      <w:r w:rsidR="00B133C3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ertyfikatu, rozwiązania niniejszej 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9E5F4E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mowy </w:t>
      </w:r>
      <w:r w:rsidR="008B4A61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(co skutkuje natychmiastowym unieważnieniem</w:t>
      </w:r>
      <w:r w:rsidR="005413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(co jest równoznaczne z </w:t>
      </w:r>
      <w:r w:rsidR="0068627A">
        <w:rPr>
          <w:rFonts w:asciiTheme="majorHAnsi" w:hAnsiTheme="majorHAnsi" w:cstheme="majorHAnsi"/>
          <w:color w:val="000000" w:themeColor="text1"/>
          <w:sz w:val="22"/>
          <w:szCs w:val="22"/>
        </w:rPr>
        <w:t>cofnięciem</w:t>
      </w:r>
      <w:r w:rsidR="008B4A61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133C3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8B4A61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ertyfikatu)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</w:t>
      </w:r>
      <w:r w:rsidR="006F1558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b z chwilą otrzymania decyzji</w:t>
      </w:r>
      <w:r w:rsidR="00847A75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</w:t>
      </w:r>
      <w:r w:rsidR="007248DA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ograniczeniu, </w:t>
      </w:r>
      <w:r w:rsidR="00847A75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zawieszeniu lub cofnięciu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133C3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ertyfikatu, </w:t>
      </w:r>
      <w:r w:rsidR="00B67374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natychmiast zaprzestanie powoływania się na 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9E5F4E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ertyfikat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używania go w reklamach i celach marketingowych oraz umieszczania znaku CE wraz z numerem identyfikacyjnym 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PCBC, jako 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Jednostki Notyfikowanej 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>(wskazanym w ust. 4 powyżej)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</w:t>
      </w:r>
      <w:r w:rsidR="009E5F4E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produk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>cie</w:t>
      </w:r>
      <w:r w:rsidR="009E5F4E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nawozowy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9E5F4E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C7322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UE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E5F4E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wprowadzany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9E5F4E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obrotu. </w:t>
      </w:r>
    </w:p>
    <w:p w14:paraId="2A524045" w14:textId="5E480B22" w:rsidR="00655579" w:rsidRDefault="00B67374" w:rsidP="009E5F4E">
      <w:pPr>
        <w:widowControl w:val="0"/>
        <w:numPr>
          <w:ilvl w:val="2"/>
          <w:numId w:val="19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niezwłocznie zaprzestanie posługiwania się </w:t>
      </w:r>
      <w:r w:rsidR="00904132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65557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ertyfikatem i znakiem CE w przypadku, gdy sposób jego wykorzystania </w:t>
      </w:r>
      <w:r w:rsid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PCBC, jako </w:t>
      </w:r>
      <w:r w:rsidR="0065557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Jednostka Notyfikowana uzna za niedopuszczalny</w:t>
      </w:r>
      <w:r w:rsidR="00F637A6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bookmarkStart w:id="7" w:name="_Hlk483395048"/>
      <w:r w:rsidR="00C047C9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F637A6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w kontekście obowiązujących przepisów prawa</w:t>
      </w:r>
      <w:r w:rsidR="00B00D16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bookmarkEnd w:id="7"/>
      <w:r w:rsidR="0065557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A50278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uprzednio</w:t>
      </w:r>
      <w:r w:rsidR="0065557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powiadomi o tym 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a na piśmie</w:t>
      </w:r>
      <w:r w:rsidR="002677E5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wraz z uzasadnieniem, wyznaczając termin na usuni</w:t>
      </w:r>
      <w:r w:rsidR="0087423C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ę</w:t>
      </w:r>
      <w:r w:rsidR="002677E5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cie niezgodności</w:t>
      </w:r>
      <w:r w:rsidR="0065557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847A75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takiej sytuacji PCBC zachowuje prawo do cofnięcia </w:t>
      </w:r>
      <w:r w:rsidR="00904132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847A75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ertyfikatu. </w:t>
      </w:r>
    </w:p>
    <w:p w14:paraId="30786BF6" w14:textId="642D12EE" w:rsidR="00655579" w:rsidRDefault="00655579" w:rsidP="009E5F4E">
      <w:pPr>
        <w:widowControl w:val="0"/>
        <w:numPr>
          <w:ilvl w:val="2"/>
          <w:numId w:val="19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O zawieszeniu</w:t>
      </w:r>
      <w:r w:rsidR="00AE18F0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cofnięciu</w:t>
      </w:r>
      <w:r w:rsidR="00A573AE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, ograniczeniu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04132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ertyfikatu</w:t>
      </w:r>
      <w:r w:rsidR="00AE18F0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lub odmowie jego wydania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bookmarkStart w:id="8" w:name="_Hlk65744484"/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PCBC powiadomi zgodnie z właściwymi przepisami prawa odpowiednie organy</w:t>
      </w:r>
      <w:r w:rsidR="00ED5C8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oraz pozostałe jednostki notyfikowane</w:t>
      </w:r>
      <w:bookmarkEnd w:id="8"/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16D28E7E" w14:textId="072EA69B" w:rsidR="00DF34F9" w:rsidRPr="009E5F4E" w:rsidRDefault="00655579" w:rsidP="009E5F4E">
      <w:pPr>
        <w:widowControl w:val="0"/>
        <w:numPr>
          <w:ilvl w:val="2"/>
          <w:numId w:val="19"/>
        </w:numPr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Zawieszenie </w:t>
      </w:r>
      <w:r w:rsidR="00904132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 nie może </w:t>
      </w:r>
      <w:r w:rsidRPr="009E5F4E">
        <w:rPr>
          <w:rFonts w:asciiTheme="majorHAnsi" w:hAnsiTheme="majorHAnsi" w:cstheme="majorHAnsi"/>
          <w:sz w:val="22"/>
          <w:szCs w:val="22"/>
        </w:rPr>
        <w:t xml:space="preserve">trwać dłużej niż </w:t>
      </w:r>
      <w:r w:rsidR="00EA1FDC" w:rsidRPr="009E5F4E">
        <w:rPr>
          <w:rFonts w:asciiTheme="majorHAnsi" w:hAnsiTheme="majorHAnsi" w:cstheme="majorHAnsi"/>
          <w:sz w:val="22"/>
          <w:szCs w:val="22"/>
        </w:rPr>
        <w:t>3</w:t>
      </w:r>
      <w:r w:rsidRPr="009E5F4E">
        <w:rPr>
          <w:rFonts w:asciiTheme="majorHAnsi" w:hAnsiTheme="majorHAnsi" w:cstheme="majorHAnsi"/>
          <w:sz w:val="22"/>
          <w:szCs w:val="22"/>
        </w:rPr>
        <w:t xml:space="preserve"> miesi</w:t>
      </w:r>
      <w:r w:rsidR="00EA1FDC" w:rsidRPr="009E5F4E">
        <w:rPr>
          <w:rFonts w:asciiTheme="majorHAnsi" w:hAnsiTheme="majorHAnsi" w:cstheme="majorHAnsi"/>
          <w:sz w:val="22"/>
          <w:szCs w:val="22"/>
        </w:rPr>
        <w:t>ące</w:t>
      </w:r>
      <w:r w:rsidRPr="009E5F4E">
        <w:rPr>
          <w:rFonts w:asciiTheme="majorHAnsi" w:hAnsiTheme="majorHAnsi" w:cstheme="majorHAnsi"/>
          <w:sz w:val="22"/>
          <w:szCs w:val="22"/>
        </w:rPr>
        <w:t xml:space="preserve">. Po </w:t>
      </w:r>
      <w:r w:rsidR="00EA1FDC" w:rsidRPr="009E5F4E">
        <w:rPr>
          <w:rFonts w:asciiTheme="majorHAnsi" w:hAnsiTheme="majorHAnsi" w:cstheme="majorHAnsi"/>
          <w:sz w:val="22"/>
          <w:szCs w:val="22"/>
        </w:rPr>
        <w:t>trzecim</w:t>
      </w:r>
      <w:r w:rsidR="00DF34F9" w:rsidRPr="009E5F4E">
        <w:rPr>
          <w:rFonts w:asciiTheme="majorHAnsi" w:hAnsiTheme="majorHAnsi" w:cstheme="majorHAnsi"/>
          <w:sz w:val="22"/>
          <w:szCs w:val="22"/>
        </w:rPr>
        <w:t xml:space="preserve"> </w:t>
      </w:r>
      <w:r w:rsidR="00DF34F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miesiącu zawieszenia </w:t>
      </w:r>
      <w:r w:rsidR="00904132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DF34F9" w:rsidRPr="009E5F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ertyfikatu, jeżeli </w:t>
      </w:r>
      <w:r w:rsidR="00DF34F9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warunki przywrócenia </w:t>
      </w:r>
      <w:r w:rsidR="00904132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</w:t>
      </w:r>
      <w:r w:rsidR="00DF34F9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ertyfikatu nie zostały spełnione, następuje </w:t>
      </w:r>
      <w:r w:rsidR="000E334B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cof</w:t>
      </w:r>
      <w:r w:rsidR="00EA1FDC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nięcie</w:t>
      </w:r>
      <w:r w:rsidR="00DF34F9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904132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</w:t>
      </w:r>
      <w:r w:rsidR="00DF34F9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ertyfikatu.</w:t>
      </w:r>
      <w:r w:rsidR="00D319CA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PCBC na wniosek </w:t>
      </w:r>
      <w:r w:rsidR="00B67374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="00D319CA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 po uprzednim rozpatrzeniu takiego wniosku, może wyrazić zgodę na przedłużenie okresu zawieszenia </w:t>
      </w:r>
      <w:r w:rsidR="00904132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</w:t>
      </w:r>
      <w:r w:rsidR="00D319CA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ertyfikatu.</w:t>
      </w:r>
      <w:r w:rsidR="00DF34F9" w:rsidRPr="009E5F4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</w:p>
    <w:p w14:paraId="4D09E951" w14:textId="4F518311" w:rsidR="009E5F4E" w:rsidRDefault="00CB5AA1" w:rsidP="009E5F4E">
      <w:pPr>
        <w:widowControl w:val="0"/>
        <w:numPr>
          <w:ilvl w:val="2"/>
          <w:numId w:val="19"/>
        </w:numPr>
        <w:tabs>
          <w:tab w:val="clear" w:pos="2340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sz w:val="22"/>
          <w:szCs w:val="22"/>
        </w:rPr>
      </w:pPr>
      <w:r w:rsidRPr="009E5F4E">
        <w:rPr>
          <w:rFonts w:asciiTheme="majorHAnsi" w:hAnsiTheme="majorHAnsi" w:cstheme="majorHAnsi"/>
          <w:sz w:val="22"/>
          <w:szCs w:val="22"/>
        </w:rPr>
        <w:t>PCBC może powiadomić o pozytywnych wynikach przeprowadzonej oceny zgodności odpowiednie organy oraz pozostałe jednostki notyfikowane</w:t>
      </w:r>
      <w:r w:rsidR="009E5F4E">
        <w:rPr>
          <w:rFonts w:asciiTheme="majorHAnsi" w:hAnsiTheme="majorHAnsi" w:cstheme="majorHAnsi"/>
          <w:sz w:val="22"/>
          <w:szCs w:val="22"/>
        </w:rPr>
        <w:t>.</w:t>
      </w:r>
    </w:p>
    <w:p w14:paraId="0315CB1A" w14:textId="25E20DC8" w:rsidR="00CB5AA1" w:rsidRPr="009E5F4E" w:rsidRDefault="004B4261" w:rsidP="0068627A">
      <w:pPr>
        <w:pStyle w:val="Akapitzlist"/>
        <w:numPr>
          <w:ilvl w:val="2"/>
          <w:numId w:val="19"/>
        </w:numPr>
        <w:tabs>
          <w:tab w:val="clear" w:pos="2340"/>
        </w:tabs>
        <w:ind w:left="709" w:hanging="709"/>
        <w:jc w:val="both"/>
        <w:rPr>
          <w:rFonts w:asciiTheme="majorHAnsi" w:hAnsiTheme="majorHAnsi" w:cstheme="majorHAnsi"/>
          <w:sz w:val="22"/>
          <w:szCs w:val="22"/>
        </w:rPr>
      </w:pPr>
      <w:r w:rsidRPr="009E5F4E">
        <w:rPr>
          <w:rFonts w:asciiTheme="majorHAnsi" w:hAnsiTheme="majorHAnsi" w:cstheme="majorHAnsi"/>
          <w:sz w:val="22"/>
          <w:szCs w:val="22"/>
        </w:rPr>
        <w:lastRenderedPageBreak/>
        <w:t xml:space="preserve">PCBC może przekazać Komisji Europejskiej oraz państwom członkowskim na żądanie: kopie </w:t>
      </w:r>
      <w:r w:rsidR="00904132" w:rsidRPr="009E5F4E">
        <w:rPr>
          <w:rFonts w:asciiTheme="majorHAnsi" w:hAnsiTheme="majorHAnsi" w:cstheme="majorHAnsi"/>
          <w:sz w:val="22"/>
          <w:szCs w:val="22"/>
        </w:rPr>
        <w:t>C</w:t>
      </w:r>
      <w:r w:rsidRPr="009E5F4E">
        <w:rPr>
          <w:rFonts w:asciiTheme="majorHAnsi" w:hAnsiTheme="majorHAnsi" w:cstheme="majorHAnsi"/>
          <w:sz w:val="22"/>
          <w:szCs w:val="22"/>
        </w:rPr>
        <w:t>ertyfikatów badania typu UE, kopie dokumentacji technicznej, kopie wyników badań przeprowadzonych przez PCBC</w:t>
      </w:r>
      <w:r w:rsidR="009E5F4E">
        <w:rPr>
          <w:rFonts w:asciiTheme="majorHAnsi" w:hAnsiTheme="majorHAnsi" w:cstheme="majorHAnsi"/>
          <w:sz w:val="22"/>
          <w:szCs w:val="22"/>
        </w:rPr>
        <w:t xml:space="preserve"> odnoszących się do produktu nawozowego UE.</w:t>
      </w:r>
    </w:p>
    <w:p w14:paraId="26B12E40" w14:textId="77777777" w:rsidR="00602194" w:rsidRPr="00CE2931" w:rsidRDefault="00602194" w:rsidP="00454F09">
      <w:pPr>
        <w:pStyle w:val="Tekstpodstawowy"/>
        <w:widowControl w:val="0"/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4802BF" w14:textId="219DD1DA" w:rsidR="00655579" w:rsidRDefault="00655579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E53E8">
        <w:rPr>
          <w:rFonts w:asciiTheme="majorHAnsi" w:hAnsiTheme="majorHAnsi" w:cstheme="majorHAnsi"/>
          <w:b/>
          <w:color w:val="000000" w:themeColor="text1"/>
          <w:sz w:val="22"/>
          <w:szCs w:val="22"/>
        </w:rPr>
        <w:sym w:font="Times New Roman" w:char="00A7"/>
      </w:r>
      <w:r w:rsidRPr="007E53E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7. Opłaty</w:t>
      </w:r>
      <w:r w:rsidR="00F66B2F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i sposób rozliczeń </w:t>
      </w:r>
    </w:p>
    <w:p w14:paraId="0EA0C7BF" w14:textId="77777777" w:rsidR="009E5F4E" w:rsidRPr="00CE2931" w:rsidRDefault="009E5F4E" w:rsidP="00454F09">
      <w:pPr>
        <w:widowControl w:val="0"/>
        <w:spacing w:beforeLines="20" w:before="48" w:afterLines="20" w:after="48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39E4DC0" w14:textId="47D2C61C" w:rsidR="00CD403A" w:rsidRDefault="00B67374" w:rsidP="00BA3F78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pacing w:beforeLines="20" w:before="48" w:afterLines="20" w:after="48"/>
        <w:ind w:left="567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224ED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CD403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którego działalność gospodarcza jest zarejestrowana w Polsce oświadcza, że jest podatnikiem podatku VAT. Dla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CD403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ów</w:t>
      </w:r>
      <w:r w:rsidR="00BA3F78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CD403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których działalność gospodarcza jest zarejestrowana </w:t>
      </w:r>
      <w:r w:rsidR="00C047C9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CD403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Unii Europejskiej (poza Polską) wymagane jest podanie VAT UE. Dla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CD403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ów</w:t>
      </w:r>
      <w:r w:rsidR="00224EDD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CD403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których działalność gospodarcza jest zarejestrowana poza Unią Europejską nie jest wymagane podanie VAT UE.</w:t>
      </w:r>
    </w:p>
    <w:p w14:paraId="2B199C0A" w14:textId="3EF8EFE6" w:rsidR="00655579" w:rsidRDefault="00B67374" w:rsidP="00BA3F78">
      <w:pPr>
        <w:widowControl w:val="0"/>
        <w:numPr>
          <w:ilvl w:val="0"/>
          <w:numId w:val="5"/>
        </w:numPr>
        <w:spacing w:beforeLines="20" w:before="48" w:afterLines="20" w:after="48"/>
        <w:ind w:left="567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655579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podpisując niniejszą </w:t>
      </w:r>
      <w:r w:rsidR="00BA3F78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BA3F78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mowę </w:t>
      </w:r>
      <w:r w:rsidR="00655579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>zobowiązuje się do poniesienia opłat dotyczących przeprowadzenia oceny zgodności</w:t>
      </w:r>
      <w:r w:rsidR="00756BA2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083E495" w14:textId="5D9112F4" w:rsidR="00531971" w:rsidRPr="000D294A" w:rsidRDefault="00531971" w:rsidP="00BA3F78">
      <w:pPr>
        <w:widowControl w:val="0"/>
        <w:numPr>
          <w:ilvl w:val="0"/>
          <w:numId w:val="5"/>
        </w:numPr>
        <w:spacing w:beforeLines="20" w:before="48" w:afterLines="20" w:after="48"/>
        <w:ind w:left="567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A3F78">
        <w:rPr>
          <w:rFonts w:asciiTheme="majorHAnsi" w:hAnsiTheme="majorHAnsi" w:cstheme="majorHAnsi"/>
          <w:sz w:val="22"/>
          <w:szCs w:val="22"/>
        </w:rPr>
        <w:t xml:space="preserve">Integralną częścią </w:t>
      </w:r>
      <w:r w:rsidR="00BA3F78">
        <w:rPr>
          <w:rFonts w:asciiTheme="majorHAnsi" w:hAnsiTheme="majorHAnsi" w:cstheme="majorHAnsi"/>
          <w:sz w:val="22"/>
          <w:szCs w:val="22"/>
        </w:rPr>
        <w:t xml:space="preserve">niniejszej </w:t>
      </w:r>
      <w:r w:rsidRPr="00BA3F78">
        <w:rPr>
          <w:rFonts w:asciiTheme="majorHAnsi" w:hAnsiTheme="majorHAnsi" w:cstheme="majorHAnsi"/>
          <w:sz w:val="22"/>
          <w:szCs w:val="22"/>
        </w:rPr>
        <w:t xml:space="preserve">umowy jest </w:t>
      </w:r>
      <w:r w:rsidRPr="000D294A">
        <w:rPr>
          <w:rFonts w:asciiTheme="majorHAnsi" w:hAnsiTheme="majorHAnsi" w:cstheme="majorHAnsi"/>
          <w:sz w:val="22"/>
          <w:szCs w:val="22"/>
        </w:rPr>
        <w:t xml:space="preserve">Załącznik </w:t>
      </w:r>
      <w:r w:rsidR="00BA3F78" w:rsidRPr="000D294A">
        <w:rPr>
          <w:rFonts w:asciiTheme="majorHAnsi" w:hAnsiTheme="majorHAnsi" w:cstheme="majorHAnsi"/>
          <w:sz w:val="22"/>
          <w:szCs w:val="22"/>
        </w:rPr>
        <w:t xml:space="preserve">nr </w:t>
      </w:r>
      <w:r w:rsidR="00EA1FB0">
        <w:rPr>
          <w:rFonts w:asciiTheme="majorHAnsi" w:hAnsiTheme="majorHAnsi" w:cstheme="majorHAnsi"/>
          <w:sz w:val="22"/>
          <w:szCs w:val="22"/>
        </w:rPr>
        <w:t>1</w:t>
      </w:r>
      <w:r w:rsidR="00BA3F78" w:rsidRPr="000D294A">
        <w:rPr>
          <w:rFonts w:asciiTheme="majorHAnsi" w:hAnsiTheme="majorHAnsi" w:cstheme="majorHAnsi"/>
          <w:sz w:val="22"/>
          <w:szCs w:val="22"/>
        </w:rPr>
        <w:t xml:space="preserve"> </w:t>
      </w:r>
      <w:r w:rsidR="00224EDD" w:rsidRPr="000D294A">
        <w:rPr>
          <w:rFonts w:asciiTheme="majorHAnsi" w:hAnsiTheme="majorHAnsi" w:cstheme="majorHAnsi"/>
          <w:sz w:val="22"/>
          <w:szCs w:val="22"/>
        </w:rPr>
        <w:t>-</w:t>
      </w:r>
      <w:r w:rsidR="00906A4E">
        <w:rPr>
          <w:rFonts w:asciiTheme="majorHAnsi" w:hAnsiTheme="majorHAnsi" w:cstheme="majorHAnsi"/>
          <w:sz w:val="22"/>
          <w:szCs w:val="22"/>
        </w:rPr>
        <w:t xml:space="preserve"> </w:t>
      </w:r>
      <w:r w:rsidR="00224EDD" w:rsidRPr="000D294A">
        <w:rPr>
          <w:rFonts w:asciiTheme="majorHAnsi" w:hAnsiTheme="majorHAnsi" w:cstheme="majorHAnsi"/>
          <w:sz w:val="22"/>
          <w:szCs w:val="22"/>
        </w:rPr>
        <w:t>Kosztorys</w:t>
      </w:r>
      <w:r w:rsidR="00EA7156" w:rsidRPr="000D294A">
        <w:rPr>
          <w:rFonts w:asciiTheme="majorHAnsi" w:hAnsiTheme="majorHAnsi" w:cstheme="majorHAnsi"/>
          <w:sz w:val="22"/>
          <w:szCs w:val="22"/>
        </w:rPr>
        <w:t>.</w:t>
      </w:r>
    </w:p>
    <w:p w14:paraId="58CA564F" w14:textId="5295FFCF" w:rsidR="00C047C9" w:rsidRPr="00C047C9" w:rsidRDefault="00BA3F78" w:rsidP="00BA3F78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Zaakceptowany (podpisany) </w:t>
      </w:r>
      <w:r w:rsidR="00150538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przez Producenta Kosztorys</w:t>
      </w:r>
      <w:r w:rsidR="00570531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F0F7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(każdy </w:t>
      </w:r>
      <w:r w:rsidR="001F0F7D">
        <w:rPr>
          <w:rFonts w:asciiTheme="majorHAnsi" w:hAnsiTheme="majorHAnsi" w:cstheme="majorHAnsi"/>
          <w:sz w:val="22"/>
          <w:szCs w:val="22"/>
        </w:rPr>
        <w:t xml:space="preserve">kolejny kosztorys, sporządzony przez PCBC i zaakceptowany przez Producenta zgodnie z postanowieniami § 1 ust. 4 lub ust. 5) </w:t>
      </w:r>
      <w:r w:rsidR="00570531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zawiera akceptowaną przez </w:t>
      </w:r>
      <w:r w:rsidR="00B67374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570531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informację o planowanych </w:t>
      </w:r>
      <w:r w:rsidR="00C047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opłatach za poszczególne </w:t>
      </w:r>
      <w:r w:rsidR="00570531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etap</w:t>
      </w:r>
      <w:r w:rsidR="00C047C9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570531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procesu oceny </w:t>
      </w:r>
      <w:r w:rsidR="00B67374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AC7322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UE</w:t>
      </w:r>
      <w:r w:rsidR="00570531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, podającą opłaty netto</w:t>
      </w:r>
      <w:r w:rsidR="00BF4AA4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52986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(tj. bez podatku od towarów i usług) w złotych polskich. Opłaty zostaną powiększone o podatek od towarów i usług zgodnie z zobowiązującymi przepisami prawa</w:t>
      </w:r>
      <w:r w:rsidR="00151AF6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0D294A" w:rsidRPr="000D294A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</w:p>
    <w:p w14:paraId="2EE4DD67" w14:textId="142C2D6F" w:rsidR="00756BA2" w:rsidRPr="000D294A" w:rsidRDefault="000D294A" w:rsidP="00C047C9">
      <w:pPr>
        <w:widowControl w:val="0"/>
        <w:spacing w:beforeLines="20" w:before="48" w:afterLines="20" w:after="48"/>
        <w:ind w:left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D294A">
        <w:rPr>
          <w:rFonts w:asciiTheme="majorHAnsi" w:hAnsiTheme="majorHAnsi" w:cstheme="minorHAnsi"/>
          <w:color w:val="000000"/>
          <w:sz w:val="22"/>
          <w:szCs w:val="22"/>
        </w:rPr>
        <w:t xml:space="preserve">Powyższe znajduje zastosowanie </w:t>
      </w:r>
      <w:r w:rsidR="00C047C9">
        <w:rPr>
          <w:rFonts w:asciiTheme="majorHAnsi" w:hAnsiTheme="majorHAnsi" w:cstheme="minorHAnsi"/>
          <w:color w:val="000000"/>
          <w:sz w:val="22"/>
          <w:szCs w:val="22"/>
        </w:rPr>
        <w:t xml:space="preserve">również </w:t>
      </w:r>
      <w:r w:rsidRPr="000D294A">
        <w:rPr>
          <w:rFonts w:asciiTheme="majorHAnsi" w:hAnsiTheme="majorHAnsi" w:cstheme="minorHAnsi"/>
          <w:color w:val="000000"/>
          <w:sz w:val="22"/>
          <w:szCs w:val="22"/>
        </w:rPr>
        <w:t>do innych należności Producenta na rzecz P</w:t>
      </w:r>
      <w:r w:rsidR="00CC7BC2">
        <w:rPr>
          <w:rFonts w:asciiTheme="majorHAnsi" w:hAnsiTheme="majorHAnsi" w:cstheme="minorHAnsi"/>
          <w:color w:val="000000"/>
          <w:sz w:val="22"/>
          <w:szCs w:val="22"/>
        </w:rPr>
        <w:t>C</w:t>
      </w:r>
      <w:r w:rsidRPr="000D294A">
        <w:rPr>
          <w:rFonts w:asciiTheme="majorHAnsi" w:hAnsiTheme="majorHAnsi" w:cstheme="minorHAnsi"/>
          <w:color w:val="000000"/>
          <w:sz w:val="22"/>
          <w:szCs w:val="22"/>
        </w:rPr>
        <w:t>BC na podstawie niniejszej umowy, o ile zgodnie z obowiązującymi przepisami będzie to zasadne.</w:t>
      </w:r>
    </w:p>
    <w:p w14:paraId="1D0E97E1" w14:textId="2EFB8B31" w:rsidR="00756BA2" w:rsidRPr="00BA3F78" w:rsidRDefault="00B67374" w:rsidP="00BA3F78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756BA2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wnosi opłaty</w:t>
      </w:r>
      <w:r w:rsidR="00150538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ponosi koszty</w:t>
      </w:r>
      <w:r w:rsidR="00756BA2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 następujące etapy procesu oceny </w:t>
      </w:r>
      <w:r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AC7322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UE</w:t>
      </w:r>
      <w:r w:rsidR="00756BA2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</w:p>
    <w:p w14:paraId="3D843350" w14:textId="6DF783A6" w:rsidR="003E12AB" w:rsidRDefault="003E12AB" w:rsidP="00BA3F78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Lines="20" w:before="48" w:afterLines="20" w:after="48"/>
        <w:ind w:left="851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9" w:name="_Hlk44078136"/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opłata wstępna</w:t>
      </w:r>
      <w:r w:rsidR="00E8279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bezzwrotna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 analizę i ocenę </w:t>
      </w:r>
      <w:r w:rsidR="00E82793">
        <w:rPr>
          <w:rFonts w:asciiTheme="majorHAnsi" w:hAnsiTheme="majorHAnsi" w:cstheme="majorHAnsi"/>
          <w:color w:val="000000" w:themeColor="text1"/>
          <w:sz w:val="22"/>
          <w:szCs w:val="22"/>
        </w:rPr>
        <w:t>formalną</w:t>
      </w:r>
      <w:r w:rsidR="00E8279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dokumentacji </w:t>
      </w:r>
      <w:r w:rsidR="00BA3F7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zgłoszon</w:t>
      </w:r>
      <w:r w:rsidR="00BA3F78">
        <w:rPr>
          <w:rFonts w:asciiTheme="majorHAnsi" w:hAnsiTheme="majorHAnsi" w:cstheme="majorHAnsi"/>
          <w:color w:val="000000" w:themeColor="text1"/>
          <w:sz w:val="22"/>
          <w:szCs w:val="22"/>
        </w:rPr>
        <w:t>ego</w:t>
      </w:r>
      <w:r w:rsidR="00BA3F7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certyfikacji </w:t>
      </w:r>
      <w:r w:rsidR="00BA3F7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</w:t>
      </w:r>
      <w:r w:rsidR="00BA3F78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BA3F7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</w:t>
      </w:r>
      <w:r w:rsidR="00BA3F78">
        <w:rPr>
          <w:rFonts w:asciiTheme="majorHAnsi" w:hAnsiTheme="majorHAnsi" w:cstheme="majorHAnsi"/>
          <w:color w:val="000000" w:themeColor="text1"/>
          <w:sz w:val="22"/>
          <w:szCs w:val="22"/>
        </w:rPr>
        <w:t>ego</w:t>
      </w:r>
      <w:r w:rsidR="00BA3F7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31F88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UE</w:t>
      </w:r>
      <w:r w:rsidR="00F637A6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441C24EC" w14:textId="56DE8291" w:rsidR="00F451F3" w:rsidRDefault="00F451F3" w:rsidP="000D294A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Lines="20" w:before="48" w:afterLines="20" w:after="48"/>
        <w:ind w:left="851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opłata za analizę i ocenę merytoryczną dokumentacji </w:t>
      </w:r>
      <w:r w:rsidR="00BA3F78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>zgłoszon</w:t>
      </w:r>
      <w:r w:rsidR="00BA3F78">
        <w:rPr>
          <w:rFonts w:asciiTheme="majorHAnsi" w:hAnsiTheme="majorHAnsi" w:cstheme="majorHAnsi"/>
          <w:color w:val="000000" w:themeColor="text1"/>
          <w:sz w:val="22"/>
          <w:szCs w:val="22"/>
        </w:rPr>
        <w:t>ego</w:t>
      </w:r>
      <w:r w:rsidR="00BA3F78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certyfikacji </w:t>
      </w:r>
      <w:r w:rsidR="00BA3F78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>produkt</w:t>
      </w:r>
      <w:r w:rsidR="00BA3F78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BA3F78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</w:t>
      </w:r>
      <w:r w:rsidR="00BA3F78">
        <w:rPr>
          <w:rFonts w:asciiTheme="majorHAnsi" w:hAnsiTheme="majorHAnsi" w:cstheme="majorHAnsi"/>
          <w:color w:val="000000" w:themeColor="text1"/>
          <w:sz w:val="22"/>
          <w:szCs w:val="22"/>
        </w:rPr>
        <w:t>ego</w:t>
      </w:r>
      <w:r w:rsidR="00BA3F78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>UE,</w:t>
      </w:r>
    </w:p>
    <w:p w14:paraId="04D217F5" w14:textId="160F84B3" w:rsidR="00BA3F78" w:rsidRDefault="00431EED" w:rsidP="000D294A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Lines="20" w:before="48" w:afterLines="20" w:after="48"/>
        <w:ind w:left="851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opłata za badania </w:t>
      </w:r>
      <w:r w:rsidR="00BA3F78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>produkt</w:t>
      </w:r>
      <w:r w:rsidR="00BA3F78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BA3F78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</w:t>
      </w:r>
      <w:r w:rsidR="00BA3F78">
        <w:rPr>
          <w:rFonts w:asciiTheme="majorHAnsi" w:hAnsiTheme="majorHAnsi" w:cstheme="majorHAnsi"/>
          <w:color w:val="000000" w:themeColor="text1"/>
          <w:sz w:val="22"/>
          <w:szCs w:val="22"/>
        </w:rPr>
        <w:t>ego</w:t>
      </w:r>
      <w:r w:rsidR="00BA3F78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B5BCE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UE </w:t>
      </w:r>
      <w:r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>wykonane przez jednostkę notyfikowan</w:t>
      </w:r>
      <w:r w:rsidR="00762AB4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>ą</w:t>
      </w:r>
      <w:r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lub przez nią zlecone</w:t>
      </w:r>
      <w:r w:rsidR="00762AB4" w:rsidRPr="00BA3F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oferta przygotowana przez Laboratorium PCBC </w:t>
      </w:r>
      <w:r w:rsidR="00762AB4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w Pile</w:t>
      </w:r>
      <w:r w:rsidR="00BA3F78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5A0697DF" w14:textId="78A6ED90" w:rsidR="00607725" w:rsidRDefault="003E12AB" w:rsidP="000D294A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Lines="20" w:before="48" w:afterLines="20" w:after="48"/>
        <w:ind w:left="851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opłata za </w:t>
      </w:r>
      <w:proofErr w:type="spellStart"/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audit</w:t>
      </w:r>
      <w:proofErr w:type="spellEnd"/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certyfikujący przeprowadzony przed wydaniem </w:t>
      </w:r>
      <w:r w:rsidR="00904132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ertyfikatu</w:t>
      </w:r>
      <w:r w:rsidR="00860716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(jeśli zasadne)</w:t>
      </w:r>
      <w:r w:rsidR="00F637A6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B23CBA" w:rsidDel="003E12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8136E17" w14:textId="541838A0" w:rsidR="00756BA2" w:rsidRDefault="00756BA2" w:rsidP="000D294A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Lines="20" w:before="48" w:afterLines="20" w:after="48"/>
        <w:ind w:left="851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opłata za </w:t>
      </w:r>
      <w:proofErr w:type="spellStart"/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audity</w:t>
      </w:r>
      <w:proofErr w:type="spellEnd"/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nadzoru</w:t>
      </w:r>
      <w:r w:rsidR="00860716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(jeśli zasadne)</w:t>
      </w: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</w:p>
    <w:p w14:paraId="79C5C2D7" w14:textId="36F7470B" w:rsidR="00756BA2" w:rsidRDefault="00756BA2" w:rsidP="000D294A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Lines="20" w:before="48" w:afterLines="20" w:after="48"/>
        <w:ind w:left="851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opłata za udział eksperta w ocenie dokumentacji </w:t>
      </w:r>
      <w:r w:rsidR="00B67374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</w:t>
      </w:r>
      <w:r w:rsidR="00153B34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nawozowego UE</w:t>
      </w: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lub/i </w:t>
      </w:r>
      <w:proofErr w:type="spellStart"/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audicie</w:t>
      </w:r>
      <w:proofErr w:type="spellEnd"/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</w:p>
    <w:p w14:paraId="0BF64B35" w14:textId="71257EE6" w:rsidR="00D319CA" w:rsidRDefault="00D319CA" w:rsidP="000D294A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Lines="20" w:before="48" w:afterLines="20" w:after="48"/>
        <w:ind w:left="851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opłaty za analizę i ocenę dokumentacji ze względu na wprowadzone zmiany</w:t>
      </w:r>
      <w:r w:rsidR="006F0ABE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mające wpływ na jakość i</w:t>
      </w:r>
      <w:r w:rsidR="005B5EBA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6F0ABE" w:rsidRPr="0089451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bezpieczeństwo </w:t>
      </w:r>
      <w:r w:rsidR="00B67374" w:rsidRPr="00894519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AC7322" w:rsidRPr="0089451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UE</w:t>
      </w:r>
      <w:r w:rsidRPr="00894519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02AFE9A7" w14:textId="5B3ABD9A" w:rsidR="00D319CA" w:rsidRDefault="00D319CA" w:rsidP="000D294A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Lines="20" w:before="48" w:afterLines="20" w:after="48"/>
        <w:ind w:left="851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opłaty za </w:t>
      </w:r>
      <w:proofErr w:type="spellStart"/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audity</w:t>
      </w:r>
      <w:proofErr w:type="spellEnd"/>
      <w:r w:rsidR="00153B34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/ wizyty</w:t>
      </w: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niezapowiedziane,</w:t>
      </w:r>
    </w:p>
    <w:p w14:paraId="49349D46" w14:textId="071605DA" w:rsidR="00FE3C07" w:rsidRDefault="00FE3C07" w:rsidP="000D294A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Lines="20" w:before="48" w:afterLines="20" w:after="48"/>
        <w:ind w:left="851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opłata za wydanie duplikatu </w:t>
      </w:r>
      <w:r w:rsidR="00904132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ertyfikatu,</w:t>
      </w:r>
    </w:p>
    <w:p w14:paraId="7ED55FDC" w14:textId="71857015" w:rsidR="00F451F3" w:rsidRPr="00B23CBA" w:rsidRDefault="00F451F3" w:rsidP="000D294A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Lines="20" w:before="48" w:afterLines="20" w:after="48"/>
        <w:ind w:left="851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10" w:name="_Hlk49844954"/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opłata za wydanie </w:t>
      </w:r>
      <w:r w:rsidR="00B23CBA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B23CBA"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 </w:t>
      </w:r>
      <w:r w:rsidRPr="00B23CBA">
        <w:rPr>
          <w:rFonts w:asciiTheme="majorHAnsi" w:hAnsiTheme="majorHAnsi" w:cstheme="majorHAnsi"/>
          <w:color w:val="000000" w:themeColor="text1"/>
          <w:sz w:val="22"/>
          <w:szCs w:val="22"/>
        </w:rPr>
        <w:t>w innym języku niż polski i angielski,</w:t>
      </w:r>
    </w:p>
    <w:bookmarkEnd w:id="10"/>
    <w:p w14:paraId="67B79D28" w14:textId="7E91311A" w:rsidR="00D86CD7" w:rsidRPr="00CE2931" w:rsidRDefault="000163E4" w:rsidP="00894519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Lines="20" w:before="48" w:afterLines="20" w:after="48"/>
        <w:ind w:left="851" w:hanging="284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E2931">
        <w:rPr>
          <w:rFonts w:asciiTheme="majorHAnsi" w:hAnsiTheme="majorHAnsi" w:cstheme="majorHAnsi"/>
          <w:sz w:val="22"/>
          <w:szCs w:val="22"/>
        </w:rPr>
        <w:t xml:space="preserve">koszty związane z pobieraniem, transportem i badaniem próbek </w:t>
      </w:r>
      <w:r w:rsidR="00894519" w:rsidRPr="00CE2931">
        <w:rPr>
          <w:rFonts w:asciiTheme="majorHAnsi" w:hAnsiTheme="majorHAnsi" w:cstheme="majorHAnsi"/>
          <w:sz w:val="22"/>
          <w:szCs w:val="22"/>
        </w:rPr>
        <w:t>produkt</w:t>
      </w:r>
      <w:r w:rsidR="00894519">
        <w:rPr>
          <w:rFonts w:asciiTheme="majorHAnsi" w:hAnsiTheme="majorHAnsi" w:cstheme="majorHAnsi"/>
          <w:sz w:val="22"/>
          <w:szCs w:val="22"/>
        </w:rPr>
        <w:t>u</w:t>
      </w:r>
      <w:r w:rsidR="00894519"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="000D294A">
        <w:rPr>
          <w:rFonts w:asciiTheme="majorHAnsi" w:hAnsiTheme="majorHAnsi" w:cstheme="majorHAnsi"/>
          <w:sz w:val="22"/>
          <w:szCs w:val="22"/>
        </w:rPr>
        <w:t>nawozowego</w:t>
      </w:r>
      <w:r w:rsidR="00894519"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="00153B34" w:rsidRPr="00CE2931">
        <w:rPr>
          <w:rFonts w:asciiTheme="majorHAnsi" w:hAnsiTheme="majorHAnsi" w:cstheme="majorHAnsi"/>
          <w:sz w:val="22"/>
          <w:szCs w:val="22"/>
        </w:rPr>
        <w:t xml:space="preserve">UE </w:t>
      </w:r>
      <w:r w:rsidRPr="00CE2931">
        <w:rPr>
          <w:rFonts w:asciiTheme="majorHAnsi" w:hAnsiTheme="majorHAnsi" w:cstheme="majorHAnsi"/>
          <w:sz w:val="22"/>
          <w:szCs w:val="22"/>
        </w:rPr>
        <w:t>(</w:t>
      </w:r>
      <w:r w:rsidR="00150538">
        <w:rPr>
          <w:rFonts w:asciiTheme="majorHAnsi" w:hAnsiTheme="majorHAnsi" w:cstheme="majorHAnsi"/>
          <w:sz w:val="22"/>
          <w:szCs w:val="22"/>
        </w:rPr>
        <w:t xml:space="preserve">m.in. </w:t>
      </w:r>
      <w:r w:rsidRPr="00CE2931">
        <w:rPr>
          <w:rFonts w:asciiTheme="majorHAnsi" w:hAnsiTheme="majorHAnsi" w:cstheme="majorHAnsi"/>
          <w:sz w:val="22"/>
          <w:szCs w:val="22"/>
        </w:rPr>
        <w:t>surowców do produkcji wyrobów)</w:t>
      </w:r>
      <w:r w:rsidR="00A81AF4" w:rsidRPr="00CE2931">
        <w:rPr>
          <w:rFonts w:asciiTheme="majorHAnsi" w:hAnsiTheme="majorHAnsi" w:cstheme="majorHAnsi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sz w:val="22"/>
          <w:szCs w:val="22"/>
        </w:rPr>
        <w:t xml:space="preserve">pobieranych z rynku i podczas </w:t>
      </w:r>
      <w:proofErr w:type="spellStart"/>
      <w:r w:rsidRPr="00CE2931">
        <w:rPr>
          <w:rFonts w:asciiTheme="majorHAnsi" w:hAnsiTheme="majorHAnsi" w:cstheme="majorHAnsi"/>
          <w:sz w:val="22"/>
          <w:szCs w:val="22"/>
        </w:rPr>
        <w:t>auditu</w:t>
      </w:r>
      <w:proofErr w:type="spellEnd"/>
      <w:r w:rsidRPr="00CE2931">
        <w:rPr>
          <w:rFonts w:asciiTheme="majorHAnsi" w:hAnsiTheme="majorHAnsi" w:cstheme="majorHAnsi"/>
          <w:sz w:val="22"/>
          <w:szCs w:val="22"/>
        </w:rPr>
        <w:t xml:space="preserve"> (także niezapowiedzianego).</w:t>
      </w:r>
    </w:p>
    <w:bookmarkEnd w:id="9"/>
    <w:p w14:paraId="415205DE" w14:textId="3E468C50" w:rsidR="00F10288" w:rsidRDefault="00D86CD7" w:rsidP="001F0F7D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beforeLines="20" w:before="48" w:afterLines="20" w:after="48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Opłata </w:t>
      </w:r>
      <w:r w:rsidR="00837455">
        <w:rPr>
          <w:rFonts w:asciiTheme="majorHAnsi" w:hAnsiTheme="majorHAnsi" w:cstheme="majorHAnsi"/>
          <w:color w:val="000000" w:themeColor="text1"/>
          <w:sz w:val="22"/>
          <w:szCs w:val="22"/>
        </w:rPr>
        <w:t>wstępn</w:t>
      </w:r>
      <w:r w:rsidR="000C69E1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8374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0282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bezzwrotna </w:t>
      </w:r>
      <w:r w:rsidR="000C69E1">
        <w:rPr>
          <w:rFonts w:asciiTheme="majorHAnsi" w:hAnsiTheme="majorHAnsi" w:cstheme="majorHAnsi"/>
          <w:color w:val="000000" w:themeColor="text1"/>
          <w:sz w:val="22"/>
          <w:szCs w:val="22"/>
        </w:rPr>
        <w:t>za</w:t>
      </w:r>
      <w:r w:rsidR="008374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analizę i ocenę </w:t>
      </w:r>
      <w:r w:rsidR="00302821">
        <w:rPr>
          <w:rFonts w:asciiTheme="majorHAnsi" w:hAnsiTheme="majorHAnsi" w:cstheme="majorHAnsi"/>
          <w:color w:val="000000" w:themeColor="text1"/>
          <w:sz w:val="22"/>
          <w:szCs w:val="22"/>
        </w:rPr>
        <w:t>formalną</w:t>
      </w:r>
      <w:r w:rsidR="0030282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dokumentacji jest opłatą, </w:t>
      </w:r>
      <w:r w:rsidR="0089451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wnoszon</w:t>
      </w:r>
      <w:r w:rsidR="00906A4E">
        <w:rPr>
          <w:rFonts w:asciiTheme="majorHAnsi" w:hAnsiTheme="majorHAnsi" w:cstheme="majorHAnsi"/>
          <w:color w:val="000000" w:themeColor="text1"/>
          <w:sz w:val="22"/>
          <w:szCs w:val="22"/>
        </w:rPr>
        <w:t>ą</w:t>
      </w:r>
      <w:r w:rsidR="0089451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</w:t>
      </w:r>
      <w:r w:rsidR="00894519">
        <w:rPr>
          <w:rFonts w:asciiTheme="majorHAnsi" w:hAnsiTheme="majorHAnsi" w:cstheme="majorHAnsi"/>
          <w:color w:val="000000" w:themeColor="text1"/>
          <w:sz w:val="22"/>
          <w:szCs w:val="22"/>
        </w:rPr>
        <w:t>rachunek bankowy</w:t>
      </w:r>
      <w:r w:rsidR="0089451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w terminie </w:t>
      </w:r>
      <w:r w:rsidRPr="00CE2931">
        <w:rPr>
          <w:rFonts w:asciiTheme="majorHAnsi" w:hAnsiTheme="majorHAnsi" w:cstheme="majorHAnsi"/>
          <w:sz w:val="22"/>
          <w:szCs w:val="22"/>
        </w:rPr>
        <w:t>14 (czternastu) dni</w:t>
      </w:r>
      <w:r w:rsidR="001F0F7D">
        <w:rPr>
          <w:rFonts w:asciiTheme="majorHAnsi" w:hAnsiTheme="majorHAnsi" w:cstheme="majorHAnsi"/>
          <w:sz w:val="22"/>
          <w:szCs w:val="22"/>
        </w:rPr>
        <w:t xml:space="preserve"> (na podstawie wystawionej przez PCBC faktury)</w:t>
      </w:r>
      <w:r w:rsidRPr="00CE2931">
        <w:rPr>
          <w:rFonts w:asciiTheme="majorHAnsi" w:hAnsiTheme="majorHAnsi" w:cstheme="majorHAnsi"/>
          <w:sz w:val="22"/>
          <w:szCs w:val="22"/>
        </w:rPr>
        <w:t xml:space="preserve"> od</w:t>
      </w:r>
      <w:r w:rsidR="000D294A">
        <w:rPr>
          <w:rFonts w:asciiTheme="majorHAnsi" w:hAnsiTheme="majorHAnsi" w:cstheme="majorHAnsi"/>
          <w:sz w:val="22"/>
          <w:szCs w:val="22"/>
        </w:rPr>
        <w:t>:</w:t>
      </w:r>
      <w:r w:rsidRPr="00CE29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B74CB6" w14:textId="300DA1E7" w:rsidR="00F10288" w:rsidRDefault="00D86CD7" w:rsidP="00F10288">
      <w:pPr>
        <w:pStyle w:val="Akapitzlist"/>
        <w:widowControl w:val="0"/>
        <w:numPr>
          <w:ilvl w:val="0"/>
          <w:numId w:val="54"/>
        </w:numPr>
        <w:spacing w:beforeLines="20" w:before="48" w:afterLines="20" w:after="48"/>
        <w:jc w:val="both"/>
        <w:rPr>
          <w:rFonts w:asciiTheme="majorHAnsi" w:hAnsiTheme="majorHAnsi" w:cstheme="majorHAnsi"/>
          <w:sz w:val="22"/>
          <w:szCs w:val="22"/>
        </w:rPr>
      </w:pPr>
      <w:r w:rsidRPr="00F10288">
        <w:rPr>
          <w:rFonts w:asciiTheme="majorHAnsi" w:hAnsiTheme="majorHAnsi" w:cstheme="majorHAnsi"/>
          <w:sz w:val="22"/>
          <w:szCs w:val="22"/>
        </w:rPr>
        <w:t>daty podpisania niniejszej umowy</w:t>
      </w:r>
      <w:r w:rsidR="001F0F7D" w:rsidRPr="001F0F7D">
        <w:rPr>
          <w:rFonts w:asciiTheme="majorHAnsi" w:hAnsiTheme="majorHAnsi" w:cstheme="majorHAnsi"/>
          <w:sz w:val="22"/>
          <w:szCs w:val="22"/>
        </w:rPr>
        <w:t xml:space="preserve"> </w:t>
      </w:r>
      <w:r w:rsidR="001F0F7D">
        <w:rPr>
          <w:rFonts w:asciiTheme="majorHAnsi" w:hAnsiTheme="majorHAnsi" w:cstheme="majorHAnsi"/>
          <w:sz w:val="22"/>
          <w:szCs w:val="22"/>
        </w:rPr>
        <w:t xml:space="preserve">i </w:t>
      </w:r>
      <w:r w:rsidR="001F0F7D" w:rsidRPr="00F10288">
        <w:rPr>
          <w:rFonts w:asciiTheme="majorHAnsi" w:hAnsiTheme="majorHAnsi" w:cstheme="majorHAnsi"/>
          <w:sz w:val="22"/>
          <w:szCs w:val="22"/>
        </w:rPr>
        <w:t>podpisania przez Producenta Kosztorysu</w:t>
      </w:r>
      <w:r w:rsidR="000D294A" w:rsidRPr="00F10288">
        <w:rPr>
          <w:rFonts w:asciiTheme="majorHAnsi" w:hAnsiTheme="majorHAnsi" w:cstheme="majorHAnsi"/>
          <w:sz w:val="22"/>
          <w:szCs w:val="22"/>
        </w:rPr>
        <w:t xml:space="preserve"> </w:t>
      </w:r>
      <w:r w:rsidR="00894519" w:rsidRPr="00F10288">
        <w:rPr>
          <w:rFonts w:asciiTheme="majorHAnsi" w:hAnsiTheme="majorHAnsi" w:cstheme="majorHAnsi"/>
          <w:sz w:val="22"/>
          <w:szCs w:val="22"/>
        </w:rPr>
        <w:t xml:space="preserve">albo </w:t>
      </w:r>
    </w:p>
    <w:p w14:paraId="0108CFD0" w14:textId="1608F31D" w:rsidR="001F0F7D" w:rsidRDefault="00894519" w:rsidP="00F10288">
      <w:pPr>
        <w:pStyle w:val="Akapitzlist"/>
        <w:widowControl w:val="0"/>
        <w:numPr>
          <w:ilvl w:val="0"/>
          <w:numId w:val="54"/>
        </w:numPr>
        <w:spacing w:beforeLines="20" w:before="48" w:afterLines="20" w:after="48"/>
        <w:jc w:val="both"/>
        <w:rPr>
          <w:rFonts w:asciiTheme="majorHAnsi" w:hAnsiTheme="majorHAnsi" w:cstheme="majorHAnsi"/>
          <w:sz w:val="22"/>
          <w:szCs w:val="22"/>
        </w:rPr>
      </w:pPr>
      <w:r w:rsidRPr="00F10288">
        <w:rPr>
          <w:rFonts w:asciiTheme="majorHAnsi" w:hAnsiTheme="majorHAnsi" w:cstheme="majorHAnsi"/>
          <w:sz w:val="22"/>
          <w:szCs w:val="22"/>
        </w:rPr>
        <w:t xml:space="preserve">podpisania </w:t>
      </w:r>
      <w:r w:rsidR="000D294A" w:rsidRPr="00F10288">
        <w:rPr>
          <w:rFonts w:asciiTheme="majorHAnsi" w:hAnsiTheme="majorHAnsi" w:cstheme="majorHAnsi"/>
          <w:sz w:val="22"/>
          <w:szCs w:val="22"/>
        </w:rPr>
        <w:t>przez Producenta</w:t>
      </w:r>
      <w:r w:rsidR="00BC666E" w:rsidRPr="00F10288">
        <w:rPr>
          <w:rFonts w:asciiTheme="majorHAnsi" w:hAnsiTheme="majorHAnsi" w:cstheme="majorHAnsi"/>
          <w:sz w:val="22"/>
          <w:szCs w:val="22"/>
        </w:rPr>
        <w:t xml:space="preserve"> </w:t>
      </w:r>
      <w:r w:rsidR="000D294A" w:rsidRPr="00F10288">
        <w:rPr>
          <w:rFonts w:asciiTheme="majorHAnsi" w:hAnsiTheme="majorHAnsi" w:cstheme="majorHAnsi"/>
          <w:sz w:val="22"/>
          <w:szCs w:val="22"/>
        </w:rPr>
        <w:t>Kosztorysu (</w:t>
      </w:r>
      <w:r w:rsidR="00BC666E" w:rsidRPr="00F10288">
        <w:rPr>
          <w:rFonts w:asciiTheme="majorHAnsi" w:hAnsiTheme="majorHAnsi" w:cstheme="majorHAnsi"/>
          <w:sz w:val="22"/>
          <w:szCs w:val="22"/>
        </w:rPr>
        <w:t xml:space="preserve">jeśli </w:t>
      </w:r>
      <w:r w:rsidR="000D294A" w:rsidRPr="00F10288">
        <w:rPr>
          <w:rFonts w:asciiTheme="majorHAnsi" w:hAnsiTheme="majorHAnsi" w:cstheme="majorHAnsi"/>
          <w:sz w:val="22"/>
          <w:szCs w:val="22"/>
        </w:rPr>
        <w:t xml:space="preserve">Kosztorys </w:t>
      </w:r>
      <w:r w:rsidR="00BC666E" w:rsidRPr="00F10288">
        <w:rPr>
          <w:rFonts w:asciiTheme="majorHAnsi" w:hAnsiTheme="majorHAnsi" w:cstheme="majorHAnsi"/>
          <w:sz w:val="22"/>
          <w:szCs w:val="22"/>
        </w:rPr>
        <w:t xml:space="preserve">podpisywany był później niż </w:t>
      </w:r>
      <w:r w:rsidR="001F0F7D">
        <w:rPr>
          <w:rFonts w:asciiTheme="majorHAnsi" w:hAnsiTheme="majorHAnsi" w:cstheme="majorHAnsi"/>
          <w:sz w:val="22"/>
          <w:szCs w:val="22"/>
        </w:rPr>
        <w:t xml:space="preserve">niniejsza </w:t>
      </w:r>
      <w:r w:rsidR="00BC666E" w:rsidRPr="00F10288">
        <w:rPr>
          <w:rFonts w:asciiTheme="majorHAnsi" w:hAnsiTheme="majorHAnsi" w:cstheme="majorHAnsi"/>
          <w:sz w:val="22"/>
          <w:szCs w:val="22"/>
        </w:rPr>
        <w:t>umowa)</w:t>
      </w:r>
      <w:r w:rsidR="001F0F7D">
        <w:rPr>
          <w:rFonts w:asciiTheme="majorHAnsi" w:hAnsiTheme="majorHAnsi" w:cstheme="majorHAnsi"/>
          <w:sz w:val="22"/>
          <w:szCs w:val="22"/>
        </w:rPr>
        <w:t>;</w:t>
      </w:r>
    </w:p>
    <w:p w14:paraId="6168EB9C" w14:textId="6A8EE073" w:rsidR="00F10288" w:rsidRDefault="001F0F7D" w:rsidP="00F10288">
      <w:pPr>
        <w:pStyle w:val="Akapitzlist"/>
        <w:widowControl w:val="0"/>
        <w:numPr>
          <w:ilvl w:val="0"/>
          <w:numId w:val="54"/>
        </w:numPr>
        <w:spacing w:beforeLines="20" w:before="48" w:afterLines="20" w:after="4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podpisania przez Producenta każdego kolejnego kosztorys, sporządzonego przez PCBC i zaakceptowanego przez Producenta zgodnie z postanowieniami § 1 ust. 4 lub ust. 5 niniejszej </w:t>
      </w:r>
      <w:r>
        <w:rPr>
          <w:rFonts w:asciiTheme="majorHAnsi" w:hAnsiTheme="majorHAnsi" w:cstheme="majorHAnsi"/>
          <w:sz w:val="22"/>
          <w:szCs w:val="22"/>
        </w:rPr>
        <w:lastRenderedPageBreak/>
        <w:t>umowy</w:t>
      </w:r>
      <w:r w:rsidR="00906A4E">
        <w:rPr>
          <w:rFonts w:asciiTheme="majorHAnsi" w:hAnsiTheme="majorHAnsi" w:cstheme="majorHAnsi"/>
          <w:sz w:val="22"/>
          <w:szCs w:val="22"/>
        </w:rPr>
        <w:t>.</w:t>
      </w:r>
      <w:r w:rsidR="00543CDD" w:rsidRPr="00F1028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1AAFF7" w14:textId="1A25C6F1" w:rsidR="00847A75" w:rsidRPr="00F10288" w:rsidRDefault="00F10288" w:rsidP="001F0F7D">
      <w:pPr>
        <w:pStyle w:val="Akapitzlist"/>
        <w:widowControl w:val="0"/>
        <w:spacing w:beforeLines="20" w:before="48" w:afterLines="20" w:after="48"/>
        <w:ind w:left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0D294A" w:rsidRPr="00F10288">
        <w:rPr>
          <w:rFonts w:asciiTheme="majorHAnsi" w:hAnsiTheme="majorHAnsi" w:cstheme="majorHAnsi"/>
          <w:sz w:val="22"/>
          <w:szCs w:val="22"/>
        </w:rPr>
        <w:t xml:space="preserve"> żadnej sytuacji </w:t>
      </w:r>
      <w:r w:rsidR="001B627C">
        <w:rPr>
          <w:rFonts w:asciiTheme="majorHAnsi" w:hAnsiTheme="majorHAnsi" w:cstheme="majorHAnsi"/>
          <w:sz w:val="22"/>
          <w:szCs w:val="22"/>
        </w:rPr>
        <w:t>oplata wstępna</w:t>
      </w:r>
      <w:r w:rsidR="001B627C" w:rsidRPr="00F10288">
        <w:rPr>
          <w:rFonts w:asciiTheme="majorHAnsi" w:hAnsiTheme="majorHAnsi" w:cstheme="majorHAnsi"/>
          <w:sz w:val="22"/>
          <w:szCs w:val="22"/>
        </w:rPr>
        <w:t xml:space="preserve"> </w:t>
      </w:r>
      <w:r w:rsidR="00D86CD7" w:rsidRPr="00F10288">
        <w:rPr>
          <w:rFonts w:asciiTheme="majorHAnsi" w:hAnsiTheme="majorHAnsi" w:cstheme="majorHAnsi"/>
          <w:sz w:val="22"/>
          <w:szCs w:val="22"/>
        </w:rPr>
        <w:t>nie podlega zwrotowi, nawet wówczas gdy PCBC podejmie decyzj</w:t>
      </w:r>
      <w:r>
        <w:rPr>
          <w:rFonts w:asciiTheme="majorHAnsi" w:hAnsiTheme="majorHAnsi" w:cstheme="majorHAnsi"/>
          <w:sz w:val="22"/>
          <w:szCs w:val="22"/>
        </w:rPr>
        <w:t>ę</w:t>
      </w:r>
      <w:r w:rsidR="00D86CD7" w:rsidRPr="00F10288">
        <w:rPr>
          <w:rFonts w:asciiTheme="majorHAnsi" w:hAnsiTheme="majorHAnsi" w:cstheme="majorHAnsi"/>
          <w:sz w:val="22"/>
          <w:szCs w:val="22"/>
        </w:rPr>
        <w:t xml:space="preserve"> o nieinicjowaniu </w:t>
      </w:r>
      <w:r w:rsidR="000D294A" w:rsidRPr="00F10288">
        <w:rPr>
          <w:rFonts w:asciiTheme="majorHAnsi" w:hAnsiTheme="majorHAnsi" w:cstheme="majorHAnsi"/>
          <w:sz w:val="22"/>
          <w:szCs w:val="22"/>
        </w:rPr>
        <w:t xml:space="preserve">(odmowie przeprowadzenia) </w:t>
      </w:r>
      <w:r w:rsidR="00D86CD7" w:rsidRPr="00F10288">
        <w:rPr>
          <w:rFonts w:asciiTheme="majorHAnsi" w:hAnsiTheme="majorHAnsi" w:cstheme="majorHAnsi"/>
          <w:sz w:val="22"/>
          <w:szCs w:val="22"/>
        </w:rPr>
        <w:t xml:space="preserve">procedury oceny </w:t>
      </w:r>
      <w:r w:rsidR="000D294A" w:rsidRPr="00F10288">
        <w:rPr>
          <w:rFonts w:asciiTheme="majorHAnsi" w:hAnsiTheme="majorHAnsi" w:cstheme="majorHAnsi"/>
          <w:sz w:val="22"/>
          <w:szCs w:val="22"/>
        </w:rPr>
        <w:t xml:space="preserve">zgodności </w:t>
      </w:r>
      <w:r w:rsidR="00B67374" w:rsidRPr="00F10288">
        <w:rPr>
          <w:rFonts w:asciiTheme="majorHAnsi" w:hAnsiTheme="majorHAnsi" w:cstheme="majorHAnsi"/>
          <w:sz w:val="22"/>
          <w:szCs w:val="22"/>
        </w:rPr>
        <w:t>produktu nawozowego</w:t>
      </w:r>
      <w:r w:rsidR="00E34CB9" w:rsidRPr="00F10288">
        <w:rPr>
          <w:rFonts w:asciiTheme="majorHAnsi" w:hAnsiTheme="majorHAnsi" w:cstheme="majorHAnsi"/>
          <w:sz w:val="22"/>
          <w:szCs w:val="22"/>
        </w:rPr>
        <w:t xml:space="preserve"> UE</w:t>
      </w:r>
      <w:r w:rsidR="000D294A" w:rsidRPr="00F10288">
        <w:rPr>
          <w:rFonts w:asciiTheme="majorHAnsi" w:hAnsiTheme="majorHAnsi" w:cstheme="majorHAnsi"/>
          <w:sz w:val="22"/>
          <w:szCs w:val="22"/>
        </w:rPr>
        <w:t xml:space="preserve"> zgodnie z § 2 niniejszej umowy</w:t>
      </w:r>
      <w:r w:rsidR="00D86CD7" w:rsidRPr="00F1028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ADB64B9" w14:textId="6060E8A5" w:rsidR="00F10288" w:rsidRDefault="00655579" w:rsidP="00667AA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beforeLines="20" w:before="48" w:afterLines="20" w:after="48"/>
        <w:ind w:left="567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Pozostałe</w:t>
      </w:r>
      <w:r w:rsidR="008166D0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opłaty, o których mowa § 7 </w:t>
      </w:r>
      <w:r w:rsidR="00543CDD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ust. </w:t>
      </w:r>
      <w:r w:rsidR="008166D0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  <w:r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będą wnoszone przez </w:t>
      </w:r>
      <w:r w:rsidR="00B67374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a po otrzymaniu faktur</w:t>
      </w:r>
      <w:r w:rsidR="000D294A">
        <w:rPr>
          <w:rFonts w:asciiTheme="majorHAnsi" w:hAnsiTheme="majorHAnsi" w:cstheme="majorHAnsi"/>
          <w:color w:val="000000" w:themeColor="text1"/>
          <w:sz w:val="22"/>
          <w:szCs w:val="22"/>
        </w:rPr>
        <w:t>y (dotyczącej danej opłaty)</w:t>
      </w:r>
      <w:r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wystawian</w:t>
      </w:r>
      <w:r w:rsidR="00F10288">
        <w:rPr>
          <w:rFonts w:asciiTheme="majorHAnsi" w:hAnsiTheme="majorHAnsi" w:cstheme="majorHAnsi"/>
          <w:color w:val="000000" w:themeColor="text1"/>
          <w:sz w:val="22"/>
          <w:szCs w:val="22"/>
        </w:rPr>
        <w:t>ej</w:t>
      </w:r>
      <w:r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przez PCBC</w:t>
      </w:r>
      <w:r w:rsidR="002677E5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637A6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terminie 14 (czternastu) dni od daty </w:t>
      </w:r>
      <w:r w:rsidR="00F8168B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wystawienia </w:t>
      </w:r>
      <w:r w:rsidR="00F637A6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faktu</w:t>
      </w:r>
      <w:r w:rsidR="00F66B2F">
        <w:rPr>
          <w:rFonts w:asciiTheme="majorHAnsi" w:hAnsiTheme="majorHAnsi" w:cstheme="majorHAnsi"/>
          <w:color w:val="000000" w:themeColor="text1"/>
          <w:sz w:val="22"/>
          <w:szCs w:val="22"/>
        </w:rPr>
        <w:t>ry</w:t>
      </w:r>
      <w:r w:rsidR="00F637A6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2CBCD095" w14:textId="77777777" w:rsidR="00F10288" w:rsidRDefault="00F637A6" w:rsidP="00F10288">
      <w:pPr>
        <w:widowControl w:val="0"/>
        <w:spacing w:beforeLines="20" w:before="48" w:afterLines="20" w:after="48"/>
        <w:ind w:left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Faktury będą wystawiane po wykonaniu danego etapu procesu oceny </w:t>
      </w:r>
      <w:r w:rsidR="006807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zgodności </w:t>
      </w:r>
      <w:r w:rsidR="00B67374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>produktu nawozowego</w:t>
      </w:r>
      <w:r w:rsidR="0041748B" w:rsidRPr="000D29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UE</w:t>
      </w:r>
      <w:r w:rsidR="006807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680723" w:rsidRPr="006807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którym mowa w </w:t>
      </w:r>
      <w:r w:rsidR="00680723" w:rsidRPr="00680723">
        <w:rPr>
          <w:rFonts w:asciiTheme="majorHAnsi" w:hAnsiTheme="majorHAnsi" w:cstheme="minorHAnsi"/>
          <w:color w:val="000000"/>
          <w:sz w:val="22"/>
          <w:szCs w:val="22"/>
        </w:rPr>
        <w:t>ust. 5 powyżej, z zastrzeżeniem treści ust. 8-12</w:t>
      </w:r>
      <w:r w:rsidRPr="0068072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667AAE" w:rsidRPr="00667A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6DD4AF5" w14:textId="57D95F6A" w:rsidR="009B2826" w:rsidRPr="00667AAE" w:rsidRDefault="00667AAE" w:rsidP="00F10288">
      <w:pPr>
        <w:widowControl w:val="0"/>
        <w:spacing w:beforeLines="20" w:before="48" w:afterLines="20" w:after="48"/>
        <w:ind w:left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Celem wykluczenia wątpliwości – </w:t>
      </w:r>
      <w:r w:rsidR="005E0DC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ograniczenie, zawieszenie lub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680723">
        <w:rPr>
          <w:rFonts w:asciiTheme="majorHAnsi" w:hAnsiTheme="majorHAnsi" w:cstheme="majorHAnsi"/>
          <w:color w:val="000000" w:themeColor="text1"/>
          <w:sz w:val="22"/>
          <w:szCs w:val="22"/>
        </w:rPr>
        <w:t>ofnięcie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Certyfikatu</w:t>
      </w:r>
      <w:r w:rsidRPr="006807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stanowi podstawy do odmowy przez Producenta uiszczenia opłaty należnej PCBC za wykonanie przez PCBC jakiejkolwiek czynności w ramach realizacji przedmiotu niniejszej umowy.</w:t>
      </w:r>
    </w:p>
    <w:p w14:paraId="4FB6F6B8" w14:textId="1F58BA18" w:rsidR="00F10288" w:rsidRPr="00F10288" w:rsidRDefault="00680723" w:rsidP="0020035E">
      <w:pPr>
        <w:widowControl w:val="0"/>
        <w:numPr>
          <w:ilvl w:val="0"/>
          <w:numId w:val="5"/>
        </w:numPr>
        <w:spacing w:beforeLines="20" w:before="48" w:afterLines="20" w:after="48"/>
        <w:ind w:left="567" w:hanging="709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680723">
        <w:rPr>
          <w:rFonts w:asciiTheme="majorHAnsi" w:hAnsiTheme="majorHAnsi" w:cstheme="minorHAnsi"/>
          <w:color w:val="000000"/>
          <w:sz w:val="22"/>
          <w:szCs w:val="22"/>
        </w:rPr>
        <w:t xml:space="preserve">Rozwiązanie niniejszej umowy </w:t>
      </w:r>
      <w:r w:rsidR="00512B67">
        <w:rPr>
          <w:rFonts w:asciiTheme="majorHAnsi" w:hAnsiTheme="majorHAnsi" w:cstheme="minorHAnsi"/>
          <w:color w:val="000000"/>
          <w:sz w:val="22"/>
          <w:szCs w:val="22"/>
        </w:rPr>
        <w:t xml:space="preserve">(zgodnie z § 11) </w:t>
      </w:r>
      <w:r w:rsidRPr="00680723">
        <w:rPr>
          <w:rFonts w:asciiTheme="majorHAnsi" w:hAnsiTheme="majorHAnsi" w:cstheme="minorHAnsi"/>
          <w:color w:val="000000"/>
          <w:sz w:val="22"/>
          <w:szCs w:val="22"/>
        </w:rPr>
        <w:t xml:space="preserve">lub przerwanie oceny zgodności o którym mowa w § 4 ust. 1 pkt 1.4., jak też przerwanie </w:t>
      </w:r>
      <w:r>
        <w:rPr>
          <w:rFonts w:asciiTheme="majorHAnsi" w:hAnsiTheme="majorHAnsi" w:cstheme="minorHAnsi"/>
          <w:color w:val="000000"/>
          <w:sz w:val="22"/>
          <w:szCs w:val="22"/>
        </w:rPr>
        <w:t>o</w:t>
      </w:r>
      <w:r w:rsidRPr="00680723">
        <w:rPr>
          <w:rFonts w:asciiTheme="majorHAnsi" w:hAnsiTheme="majorHAnsi" w:cstheme="minorHAnsi"/>
          <w:color w:val="000000"/>
          <w:sz w:val="22"/>
          <w:szCs w:val="22"/>
        </w:rPr>
        <w:t>ceny zgodności zgodnie z § 3 ust. 1 pkt 1.2.</w:t>
      </w:r>
      <w:r w:rsidR="00667AAE">
        <w:rPr>
          <w:rFonts w:asciiTheme="majorHAnsi" w:hAnsiTheme="majorHAnsi" w:cstheme="minorHAnsi"/>
          <w:color w:val="000000"/>
          <w:sz w:val="22"/>
          <w:szCs w:val="22"/>
        </w:rPr>
        <w:t xml:space="preserve">, </w:t>
      </w:r>
      <w:r w:rsidRPr="00680723">
        <w:rPr>
          <w:rFonts w:asciiTheme="majorHAnsi" w:hAnsiTheme="majorHAnsi" w:cstheme="minorHAnsi"/>
          <w:color w:val="000000"/>
          <w:sz w:val="22"/>
          <w:szCs w:val="22"/>
        </w:rPr>
        <w:t xml:space="preserve">nie stanowi podstawy do odmowy przez Producenta uiszczenia opłaty należnej PCBC za wykonanie przez PCBC poszczególnych etapów w ramach procesu </w:t>
      </w:r>
      <w:r>
        <w:rPr>
          <w:rFonts w:asciiTheme="majorHAnsi" w:hAnsiTheme="majorHAnsi" w:cstheme="minorHAnsi"/>
          <w:color w:val="000000"/>
          <w:sz w:val="22"/>
          <w:szCs w:val="22"/>
        </w:rPr>
        <w:t>o</w:t>
      </w:r>
      <w:r w:rsidRPr="00680723">
        <w:rPr>
          <w:rFonts w:asciiTheme="majorHAnsi" w:hAnsiTheme="majorHAnsi" w:cstheme="minorHAnsi"/>
          <w:color w:val="000000"/>
          <w:sz w:val="22"/>
          <w:szCs w:val="22"/>
        </w:rPr>
        <w:t>ceny zgodności, według zasad określonych w ust. 5 - 7 powyżej, jak też dodatkowych opłat lub kosztów, o których mowa w ust. 9 – 12 jeżeli są one zasadne.</w:t>
      </w:r>
      <w:r w:rsidRPr="00680723">
        <w:rPr>
          <w:rFonts w:asciiTheme="majorHAnsi" w:hAnsiTheme="majorHAnsi" w:cstheme="minorHAnsi"/>
          <w:i/>
          <w:iCs/>
          <w:sz w:val="22"/>
          <w:szCs w:val="22"/>
        </w:rPr>
        <w:t xml:space="preserve"> </w:t>
      </w:r>
    </w:p>
    <w:p w14:paraId="2919AAF6" w14:textId="17A7E7BB" w:rsidR="00F10288" w:rsidRDefault="00680723" w:rsidP="00F10288">
      <w:pPr>
        <w:widowControl w:val="0"/>
        <w:spacing w:beforeLines="20" w:before="48" w:afterLines="20" w:after="48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680723">
        <w:rPr>
          <w:rFonts w:asciiTheme="majorHAnsi" w:hAnsiTheme="majorHAnsi" w:cstheme="minorHAnsi"/>
          <w:sz w:val="22"/>
          <w:szCs w:val="22"/>
        </w:rPr>
        <w:t xml:space="preserve">Ponadto, w takim przypadku Producent </w:t>
      </w:r>
      <w:r w:rsidR="00A22564">
        <w:rPr>
          <w:rFonts w:asciiTheme="majorHAnsi" w:hAnsiTheme="majorHAnsi" w:cstheme="minorHAnsi"/>
          <w:sz w:val="22"/>
          <w:szCs w:val="22"/>
        </w:rPr>
        <w:t>zwróci</w:t>
      </w:r>
      <w:r w:rsidRPr="00680723">
        <w:rPr>
          <w:rFonts w:asciiTheme="majorHAnsi" w:hAnsiTheme="majorHAnsi" w:cstheme="minorHAnsi"/>
          <w:sz w:val="22"/>
          <w:szCs w:val="22"/>
        </w:rPr>
        <w:t xml:space="preserve"> również wszystkie koszty poniesione i</w:t>
      </w:r>
      <w:r w:rsidR="00DF6A90">
        <w:rPr>
          <w:rFonts w:asciiTheme="majorHAnsi" w:hAnsiTheme="majorHAnsi" w:cstheme="minorHAnsi"/>
          <w:sz w:val="22"/>
          <w:szCs w:val="22"/>
        </w:rPr>
        <w:t> </w:t>
      </w:r>
      <w:r w:rsidRPr="00680723">
        <w:rPr>
          <w:rFonts w:asciiTheme="majorHAnsi" w:hAnsiTheme="majorHAnsi" w:cstheme="minorHAnsi"/>
          <w:sz w:val="22"/>
          <w:szCs w:val="22"/>
        </w:rPr>
        <w:t xml:space="preserve">udokumentowane przez PCBC do momentu przerwania </w:t>
      </w:r>
      <w:r>
        <w:rPr>
          <w:rFonts w:asciiTheme="majorHAnsi" w:hAnsiTheme="majorHAnsi" w:cstheme="minorHAnsi"/>
          <w:sz w:val="22"/>
          <w:szCs w:val="22"/>
        </w:rPr>
        <w:t>o</w:t>
      </w:r>
      <w:r w:rsidRPr="00680723">
        <w:rPr>
          <w:rFonts w:asciiTheme="majorHAnsi" w:hAnsiTheme="majorHAnsi" w:cstheme="minorHAnsi"/>
          <w:sz w:val="22"/>
          <w:szCs w:val="22"/>
        </w:rPr>
        <w:t xml:space="preserve">ceny zgodności czy rozwiązania </w:t>
      </w:r>
      <w:r>
        <w:rPr>
          <w:rFonts w:asciiTheme="majorHAnsi" w:hAnsiTheme="majorHAnsi" w:cstheme="minorHAnsi"/>
          <w:sz w:val="22"/>
          <w:szCs w:val="22"/>
        </w:rPr>
        <w:t>niniejszej u</w:t>
      </w:r>
      <w:r w:rsidR="00667AAE">
        <w:rPr>
          <w:rFonts w:asciiTheme="majorHAnsi" w:hAnsiTheme="majorHAnsi" w:cstheme="minorHAnsi"/>
          <w:sz w:val="22"/>
          <w:szCs w:val="22"/>
        </w:rPr>
        <w:t>mowy,</w:t>
      </w:r>
      <w:r w:rsidRPr="00680723">
        <w:rPr>
          <w:rFonts w:asciiTheme="majorHAnsi" w:hAnsiTheme="majorHAnsi" w:cstheme="minorHAnsi"/>
          <w:sz w:val="22"/>
          <w:szCs w:val="22"/>
        </w:rPr>
        <w:t xml:space="preserve"> a nie objęte opłatą za wykonanie </w:t>
      </w:r>
      <w:r w:rsidRPr="00680723">
        <w:rPr>
          <w:rFonts w:asciiTheme="majorHAnsi" w:hAnsiTheme="majorHAnsi" w:cstheme="minorHAnsi"/>
          <w:color w:val="000000"/>
          <w:sz w:val="22"/>
          <w:szCs w:val="22"/>
        </w:rPr>
        <w:t xml:space="preserve">poszczególnych etapów w ramach procesu </w:t>
      </w:r>
      <w:r>
        <w:rPr>
          <w:rFonts w:asciiTheme="majorHAnsi" w:hAnsiTheme="majorHAnsi" w:cstheme="minorHAnsi"/>
          <w:color w:val="000000"/>
          <w:sz w:val="22"/>
          <w:szCs w:val="22"/>
        </w:rPr>
        <w:t>o</w:t>
      </w:r>
      <w:r w:rsidRPr="00680723">
        <w:rPr>
          <w:rFonts w:asciiTheme="majorHAnsi" w:hAnsiTheme="majorHAnsi" w:cstheme="minorHAnsi"/>
          <w:color w:val="000000"/>
          <w:sz w:val="22"/>
          <w:szCs w:val="22"/>
        </w:rPr>
        <w:t xml:space="preserve">ceny zgodności, według zasad określonych w niniejszym ustępie lub 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w </w:t>
      </w:r>
      <w:r w:rsidRPr="00680723">
        <w:rPr>
          <w:rFonts w:asciiTheme="majorHAnsi" w:hAnsiTheme="majorHAnsi" w:cstheme="minorHAnsi"/>
          <w:color w:val="000000"/>
          <w:sz w:val="22"/>
          <w:szCs w:val="22"/>
        </w:rPr>
        <w:t>ust. 9 - 10</w:t>
      </w:r>
      <w:r w:rsidRPr="00680723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559ADFB1" w14:textId="1256EC67" w:rsidR="00F10288" w:rsidRDefault="00680723" w:rsidP="00F10288">
      <w:pPr>
        <w:widowControl w:val="0"/>
        <w:spacing w:beforeLines="20" w:before="48" w:afterLines="20" w:after="48"/>
        <w:ind w:left="567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Wysokość</w:t>
      </w:r>
      <w:r w:rsidRPr="00680723">
        <w:rPr>
          <w:rFonts w:asciiTheme="majorHAnsi" w:hAnsiTheme="majorHAnsi" w:cstheme="minorHAnsi"/>
          <w:sz w:val="22"/>
          <w:szCs w:val="22"/>
        </w:rPr>
        <w:t xml:space="preserve"> kosztów zostanie ustalona </w:t>
      </w:r>
      <w:r w:rsidR="00304F92">
        <w:rPr>
          <w:rFonts w:asciiTheme="majorHAnsi" w:hAnsiTheme="majorHAnsi" w:cstheme="minorHAnsi"/>
          <w:sz w:val="22"/>
          <w:szCs w:val="22"/>
        </w:rPr>
        <w:t xml:space="preserve">protokolarnie </w:t>
      </w:r>
      <w:r w:rsidRPr="00680723">
        <w:rPr>
          <w:rFonts w:asciiTheme="majorHAnsi" w:hAnsiTheme="majorHAnsi" w:cstheme="minorHAnsi"/>
          <w:sz w:val="22"/>
          <w:szCs w:val="22"/>
        </w:rPr>
        <w:t xml:space="preserve">przez przedstawicieli PCBC i Producenta </w:t>
      </w:r>
      <w:r w:rsidR="00F10288">
        <w:rPr>
          <w:rFonts w:asciiTheme="majorHAnsi" w:hAnsiTheme="majorHAnsi" w:cstheme="minorHAnsi"/>
          <w:sz w:val="22"/>
          <w:szCs w:val="22"/>
        </w:rPr>
        <w:br/>
      </w:r>
      <w:r w:rsidRPr="00680723">
        <w:rPr>
          <w:rFonts w:asciiTheme="majorHAnsi" w:hAnsiTheme="majorHAnsi" w:cstheme="minorHAnsi"/>
          <w:sz w:val="22"/>
          <w:szCs w:val="22"/>
        </w:rPr>
        <w:t xml:space="preserve">w terminie 14 (słownie: czternaście) dni od powiadomienia (doręczenia) o przerwaniu </w:t>
      </w:r>
      <w:r w:rsidR="00667AAE">
        <w:rPr>
          <w:rFonts w:asciiTheme="majorHAnsi" w:hAnsiTheme="majorHAnsi" w:cstheme="minorHAnsi"/>
          <w:sz w:val="22"/>
          <w:szCs w:val="22"/>
        </w:rPr>
        <w:t>o</w:t>
      </w:r>
      <w:r w:rsidRPr="00680723">
        <w:rPr>
          <w:rFonts w:asciiTheme="majorHAnsi" w:hAnsiTheme="majorHAnsi" w:cstheme="minorHAnsi"/>
          <w:sz w:val="22"/>
          <w:szCs w:val="22"/>
        </w:rPr>
        <w:t xml:space="preserve">ceny zgodności lub rozwiązaniu </w:t>
      </w:r>
      <w:r w:rsidR="00512B67">
        <w:rPr>
          <w:rFonts w:asciiTheme="majorHAnsi" w:hAnsiTheme="majorHAnsi" w:cstheme="minorHAnsi"/>
          <w:sz w:val="22"/>
          <w:szCs w:val="22"/>
        </w:rPr>
        <w:t xml:space="preserve">niniejszej </w:t>
      </w:r>
      <w:r w:rsidR="00D43316">
        <w:rPr>
          <w:rFonts w:asciiTheme="majorHAnsi" w:hAnsiTheme="majorHAnsi" w:cstheme="minorHAnsi"/>
          <w:sz w:val="22"/>
          <w:szCs w:val="22"/>
        </w:rPr>
        <w:t>u</w:t>
      </w:r>
      <w:r w:rsidRPr="00680723">
        <w:rPr>
          <w:rFonts w:asciiTheme="majorHAnsi" w:hAnsiTheme="majorHAnsi" w:cstheme="minorHAnsi"/>
          <w:sz w:val="22"/>
          <w:szCs w:val="22"/>
        </w:rPr>
        <w:t xml:space="preserve">mowy. Od dnia </w:t>
      </w:r>
      <w:r w:rsidR="004F2A7C">
        <w:rPr>
          <w:rFonts w:asciiTheme="majorHAnsi" w:hAnsiTheme="majorHAnsi" w:cstheme="minorHAnsi"/>
          <w:sz w:val="22"/>
          <w:szCs w:val="22"/>
        </w:rPr>
        <w:t>(odpowiednio) doręczenia</w:t>
      </w:r>
      <w:r w:rsidRPr="00680723">
        <w:rPr>
          <w:rFonts w:asciiTheme="majorHAnsi" w:hAnsiTheme="majorHAnsi" w:cstheme="minorHAnsi"/>
          <w:sz w:val="22"/>
          <w:szCs w:val="22"/>
        </w:rPr>
        <w:t xml:space="preserve"> Producent</w:t>
      </w:r>
      <w:r w:rsidR="004F2A7C">
        <w:rPr>
          <w:rFonts w:asciiTheme="majorHAnsi" w:hAnsiTheme="majorHAnsi" w:cstheme="minorHAnsi"/>
          <w:sz w:val="22"/>
          <w:szCs w:val="22"/>
        </w:rPr>
        <w:t>owi</w:t>
      </w:r>
      <w:r w:rsidRPr="00680723">
        <w:rPr>
          <w:rFonts w:asciiTheme="majorHAnsi" w:hAnsiTheme="majorHAnsi" w:cstheme="minorHAnsi"/>
          <w:sz w:val="22"/>
          <w:szCs w:val="22"/>
        </w:rPr>
        <w:t xml:space="preserve"> albo PCBC informacji</w:t>
      </w:r>
      <w:r w:rsidR="004F2A7C">
        <w:rPr>
          <w:rFonts w:asciiTheme="majorHAnsi" w:hAnsiTheme="majorHAnsi" w:cstheme="minorHAnsi"/>
          <w:sz w:val="22"/>
          <w:szCs w:val="22"/>
        </w:rPr>
        <w:t xml:space="preserve"> (odpowiednio)</w:t>
      </w:r>
      <w:r w:rsidRPr="00680723">
        <w:rPr>
          <w:rFonts w:asciiTheme="majorHAnsi" w:hAnsiTheme="majorHAnsi" w:cstheme="minorHAnsi"/>
          <w:sz w:val="22"/>
          <w:szCs w:val="22"/>
        </w:rPr>
        <w:t xml:space="preserve"> o rozwiązaniu </w:t>
      </w:r>
      <w:r w:rsidR="00667AAE">
        <w:rPr>
          <w:rFonts w:asciiTheme="majorHAnsi" w:hAnsiTheme="majorHAnsi" w:cstheme="minorHAnsi"/>
          <w:sz w:val="22"/>
          <w:szCs w:val="22"/>
        </w:rPr>
        <w:t>niniejszej u</w:t>
      </w:r>
      <w:r w:rsidRPr="00680723">
        <w:rPr>
          <w:rFonts w:asciiTheme="majorHAnsi" w:hAnsiTheme="majorHAnsi" w:cstheme="minorHAnsi"/>
          <w:sz w:val="22"/>
          <w:szCs w:val="22"/>
        </w:rPr>
        <w:t xml:space="preserve">mowy czy przerwaniu </w:t>
      </w:r>
      <w:r w:rsidR="00667AAE">
        <w:rPr>
          <w:rFonts w:asciiTheme="majorHAnsi" w:hAnsiTheme="majorHAnsi" w:cstheme="minorHAnsi"/>
          <w:sz w:val="22"/>
          <w:szCs w:val="22"/>
        </w:rPr>
        <w:t>o</w:t>
      </w:r>
      <w:r w:rsidRPr="00680723">
        <w:rPr>
          <w:rFonts w:asciiTheme="majorHAnsi" w:hAnsiTheme="majorHAnsi" w:cstheme="minorHAnsi"/>
          <w:sz w:val="22"/>
          <w:szCs w:val="22"/>
        </w:rPr>
        <w:t xml:space="preserve">ceny zgodności, PCBC niezwłocznie wstrzyma wszelkie czynności/działania związane z </w:t>
      </w:r>
      <w:r w:rsidR="00667AAE">
        <w:rPr>
          <w:rFonts w:asciiTheme="majorHAnsi" w:hAnsiTheme="majorHAnsi" w:cstheme="minorHAnsi"/>
          <w:sz w:val="22"/>
          <w:szCs w:val="22"/>
        </w:rPr>
        <w:t>p</w:t>
      </w:r>
      <w:r w:rsidRPr="00680723">
        <w:rPr>
          <w:rFonts w:asciiTheme="majorHAnsi" w:hAnsiTheme="majorHAnsi" w:cstheme="minorHAnsi"/>
          <w:sz w:val="22"/>
          <w:szCs w:val="22"/>
        </w:rPr>
        <w:t xml:space="preserve">rzedmiotem </w:t>
      </w:r>
      <w:r w:rsidR="00667AAE">
        <w:rPr>
          <w:rFonts w:asciiTheme="majorHAnsi" w:hAnsiTheme="majorHAnsi" w:cstheme="minorHAnsi"/>
          <w:sz w:val="22"/>
          <w:szCs w:val="22"/>
        </w:rPr>
        <w:t>niniejszej u</w:t>
      </w:r>
      <w:r w:rsidRPr="00680723">
        <w:rPr>
          <w:rFonts w:asciiTheme="majorHAnsi" w:hAnsiTheme="majorHAnsi" w:cstheme="minorHAnsi"/>
          <w:sz w:val="22"/>
          <w:szCs w:val="22"/>
        </w:rPr>
        <w:t xml:space="preserve">mowy odnoszące się do Producenta i </w:t>
      </w:r>
      <w:r w:rsidR="00667AAE">
        <w:rPr>
          <w:rFonts w:asciiTheme="majorHAnsi" w:hAnsiTheme="majorHAnsi" w:cstheme="minorHAnsi"/>
          <w:sz w:val="22"/>
          <w:szCs w:val="22"/>
        </w:rPr>
        <w:t>p</w:t>
      </w:r>
      <w:r w:rsidRPr="00680723">
        <w:rPr>
          <w:rFonts w:asciiTheme="majorHAnsi" w:hAnsiTheme="majorHAnsi" w:cstheme="minorHAnsi"/>
          <w:sz w:val="22"/>
          <w:szCs w:val="22"/>
        </w:rPr>
        <w:t>roduktu nawozowego UE.</w:t>
      </w:r>
    </w:p>
    <w:p w14:paraId="61A897B5" w14:textId="24E200B7" w:rsidR="00680723" w:rsidRPr="00A22564" w:rsidRDefault="00680723" w:rsidP="00F10288">
      <w:pPr>
        <w:widowControl w:val="0"/>
        <w:spacing w:beforeLines="20" w:before="48" w:afterLines="20" w:after="48"/>
        <w:ind w:left="567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680723">
        <w:rPr>
          <w:rFonts w:asciiTheme="majorHAnsi" w:hAnsiTheme="majorHAnsi" w:cstheme="minorHAnsi"/>
          <w:sz w:val="22"/>
          <w:szCs w:val="22"/>
        </w:rPr>
        <w:t xml:space="preserve">Po rozwiązaniu </w:t>
      </w:r>
      <w:r w:rsidR="00667AAE">
        <w:rPr>
          <w:rFonts w:asciiTheme="majorHAnsi" w:hAnsiTheme="majorHAnsi" w:cstheme="minorHAnsi"/>
          <w:sz w:val="22"/>
          <w:szCs w:val="22"/>
        </w:rPr>
        <w:t>niniejszej u</w:t>
      </w:r>
      <w:r w:rsidRPr="00680723">
        <w:rPr>
          <w:rFonts w:asciiTheme="majorHAnsi" w:hAnsiTheme="majorHAnsi" w:cstheme="minorHAnsi"/>
          <w:sz w:val="22"/>
          <w:szCs w:val="22"/>
        </w:rPr>
        <w:t xml:space="preserve">mowy </w:t>
      </w:r>
      <w:r w:rsidR="00667AAE">
        <w:rPr>
          <w:rFonts w:asciiTheme="majorHAnsi" w:hAnsiTheme="majorHAnsi" w:cstheme="minorHAnsi"/>
          <w:sz w:val="22"/>
          <w:szCs w:val="22"/>
        </w:rPr>
        <w:t xml:space="preserve">lub </w:t>
      </w:r>
      <w:r w:rsidR="00667AAE" w:rsidRPr="00680723">
        <w:rPr>
          <w:rFonts w:asciiTheme="majorHAnsi" w:hAnsiTheme="majorHAnsi" w:cstheme="minorHAnsi"/>
          <w:color w:val="000000"/>
          <w:sz w:val="22"/>
          <w:szCs w:val="22"/>
        </w:rPr>
        <w:t>przerwani</w:t>
      </w:r>
      <w:r w:rsidR="00667AAE">
        <w:rPr>
          <w:rFonts w:asciiTheme="majorHAnsi" w:hAnsiTheme="majorHAnsi" w:cstheme="minorHAnsi"/>
          <w:color w:val="000000"/>
          <w:sz w:val="22"/>
          <w:szCs w:val="22"/>
        </w:rPr>
        <w:t>u</w:t>
      </w:r>
      <w:r w:rsidR="00667AAE" w:rsidRPr="00680723">
        <w:rPr>
          <w:rFonts w:asciiTheme="majorHAnsi" w:hAnsiTheme="majorHAnsi" w:cstheme="minorHAnsi"/>
          <w:color w:val="000000"/>
          <w:sz w:val="22"/>
          <w:szCs w:val="22"/>
        </w:rPr>
        <w:t xml:space="preserve"> oceny zgodności</w:t>
      </w:r>
      <w:r w:rsidR="00A22564">
        <w:rPr>
          <w:rFonts w:asciiTheme="majorHAnsi" w:hAnsiTheme="majorHAnsi" w:cstheme="minorHAnsi"/>
          <w:color w:val="000000"/>
          <w:sz w:val="22"/>
          <w:szCs w:val="22"/>
        </w:rPr>
        <w:t>,</w:t>
      </w:r>
      <w:r w:rsidR="00667AAE" w:rsidRPr="00680723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680723">
        <w:rPr>
          <w:rFonts w:asciiTheme="majorHAnsi" w:hAnsiTheme="majorHAnsi" w:cstheme="minorHAnsi"/>
          <w:sz w:val="22"/>
          <w:szCs w:val="22"/>
        </w:rPr>
        <w:t xml:space="preserve">Producent </w:t>
      </w:r>
      <w:r w:rsidR="00A22564">
        <w:rPr>
          <w:rFonts w:asciiTheme="majorHAnsi" w:hAnsiTheme="majorHAnsi" w:cstheme="minorHAnsi"/>
          <w:sz w:val="22"/>
          <w:szCs w:val="22"/>
        </w:rPr>
        <w:t>zwróci</w:t>
      </w:r>
      <w:r w:rsidRPr="00680723">
        <w:rPr>
          <w:rFonts w:asciiTheme="majorHAnsi" w:hAnsiTheme="majorHAnsi" w:cstheme="minorHAnsi"/>
          <w:sz w:val="22"/>
          <w:szCs w:val="22"/>
        </w:rPr>
        <w:t xml:space="preserve"> PCBC </w:t>
      </w:r>
      <w:r w:rsidR="00A22564">
        <w:rPr>
          <w:rFonts w:asciiTheme="majorHAnsi" w:hAnsiTheme="majorHAnsi" w:cstheme="minorHAnsi"/>
          <w:sz w:val="22"/>
          <w:szCs w:val="22"/>
        </w:rPr>
        <w:t>ww. koszty</w:t>
      </w:r>
      <w:r w:rsidRPr="00680723">
        <w:rPr>
          <w:rFonts w:asciiTheme="majorHAnsi" w:hAnsiTheme="majorHAnsi" w:cstheme="minorHAnsi"/>
          <w:sz w:val="22"/>
          <w:szCs w:val="22"/>
        </w:rPr>
        <w:t xml:space="preserve"> zgodnie </w:t>
      </w:r>
      <w:r w:rsidRPr="00A22564">
        <w:rPr>
          <w:rFonts w:asciiTheme="majorHAnsi" w:hAnsiTheme="majorHAnsi" w:cstheme="minorHAnsi"/>
          <w:sz w:val="22"/>
          <w:szCs w:val="22"/>
        </w:rPr>
        <w:t>z</w:t>
      </w:r>
      <w:r w:rsidRPr="00A22564">
        <w:rPr>
          <w:rFonts w:asciiTheme="majorHAnsi" w:hAnsiTheme="majorHAnsi" w:cstheme="minorHAnsi"/>
          <w:iCs/>
          <w:sz w:val="22"/>
          <w:szCs w:val="22"/>
        </w:rPr>
        <w:t> </w:t>
      </w:r>
      <w:r w:rsidR="00A22564" w:rsidRPr="00A22564">
        <w:rPr>
          <w:rFonts w:asciiTheme="majorHAnsi" w:hAnsiTheme="majorHAnsi" w:cstheme="minorHAnsi"/>
          <w:iCs/>
          <w:sz w:val="22"/>
          <w:szCs w:val="22"/>
        </w:rPr>
        <w:t xml:space="preserve">ustaleniami Stron zawartymi w ww. </w:t>
      </w:r>
      <w:r w:rsidRPr="00A22564">
        <w:rPr>
          <w:rFonts w:asciiTheme="majorHAnsi" w:hAnsiTheme="majorHAnsi" w:cstheme="minorHAnsi"/>
          <w:sz w:val="22"/>
          <w:szCs w:val="22"/>
        </w:rPr>
        <w:t>protoko</w:t>
      </w:r>
      <w:r w:rsidR="00A22564" w:rsidRPr="00A22564">
        <w:rPr>
          <w:rFonts w:asciiTheme="majorHAnsi" w:hAnsiTheme="majorHAnsi" w:cstheme="minorHAnsi"/>
          <w:sz w:val="22"/>
          <w:szCs w:val="22"/>
        </w:rPr>
        <w:t>le</w:t>
      </w:r>
      <w:r w:rsidRPr="00A22564">
        <w:rPr>
          <w:rFonts w:asciiTheme="majorHAnsi" w:hAnsiTheme="majorHAnsi" w:cstheme="minorHAnsi"/>
          <w:sz w:val="22"/>
          <w:szCs w:val="22"/>
        </w:rPr>
        <w:t>.</w:t>
      </w:r>
    </w:p>
    <w:p w14:paraId="40E991CE" w14:textId="6810270B" w:rsidR="00F710A3" w:rsidRDefault="00655579" w:rsidP="0020035E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Niezależnie od ww. opłat za </w:t>
      </w:r>
      <w:r w:rsidR="00667AAE">
        <w:rPr>
          <w:rFonts w:asciiTheme="majorHAnsi" w:hAnsiTheme="majorHAnsi" w:cstheme="majorHAnsi"/>
          <w:color w:val="000000" w:themeColor="text1"/>
          <w:sz w:val="22"/>
          <w:szCs w:val="22"/>
        </w:rPr>
        <w:t>czynności</w:t>
      </w:r>
      <w:r w:rsidR="00667AA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związane z oceną zgodności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41748B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F0AB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(w tym kosztów zw. z </w:t>
      </w:r>
      <w:proofErr w:type="spellStart"/>
      <w:r w:rsidR="006F0AB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auditami</w:t>
      </w:r>
      <w:proofErr w:type="spellEnd"/>
      <w:r w:rsidR="006F0AB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certyfikującymi, nadzoru, </w:t>
      </w:r>
      <w:proofErr w:type="spellStart"/>
      <w:r w:rsidR="006F0AB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auditami</w:t>
      </w:r>
      <w:proofErr w:type="spellEnd"/>
      <w:r w:rsidR="006F0AB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60716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/ wizytami </w:t>
      </w:r>
      <w:r w:rsidR="006F0AB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niezapowiedzianymi)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ostateczna </w:t>
      </w:r>
      <w:r w:rsidR="00F7342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opłata należna PCBC </w:t>
      </w:r>
      <w:r w:rsidR="00667AAE">
        <w:rPr>
          <w:rFonts w:asciiTheme="majorHAnsi" w:hAnsiTheme="majorHAnsi" w:cstheme="majorHAnsi"/>
          <w:color w:val="000000" w:themeColor="text1"/>
          <w:sz w:val="22"/>
          <w:szCs w:val="22"/>
        </w:rPr>
        <w:t>od Producenta</w:t>
      </w:r>
      <w:r w:rsidR="00F7342C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ulegnie podwyższeniu o koszty towarzyszące, tj. </w:t>
      </w:r>
      <w:r w:rsidR="00667AAE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DF6A90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667A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szczególności 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koszty podróży i pobytu auditora (-ów) i eksperta, obliczone zgodnie z właściwymi przepisami dotyczącymi stawek za podróże służbowe</w:t>
      </w:r>
      <w:r w:rsidR="00F637A6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bookmarkStart w:id="11" w:name="_Hlk483395153"/>
      <w:r w:rsidR="00F637A6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oraz na podstawie faktury wystawionej przez hotel. </w:t>
      </w:r>
    </w:p>
    <w:p w14:paraId="0EA81466" w14:textId="67917767" w:rsidR="00655579" w:rsidRPr="0020035E" w:rsidRDefault="00F637A6" w:rsidP="00F710A3">
      <w:pPr>
        <w:widowControl w:val="0"/>
        <w:spacing w:beforeLines="20" w:before="48" w:afterLines="20" w:after="48"/>
        <w:ind w:left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W przypadku</w:t>
      </w:r>
      <w:r w:rsidR="00860716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gdy </w:t>
      </w:r>
      <w:r w:rsidR="00B67374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zapewnieni odpowiednie środki lokomocji (transport) i zakwaterowanie dla auditora (-ów) i eksperta (-ów), czas dojazdu i miejsce zakwaterowania muszą być zorganizowane w taki sposób</w:t>
      </w:r>
      <w:r w:rsidR="002A0442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aby nie miały wpływu na plan </w:t>
      </w:r>
      <w:proofErr w:type="spellStart"/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działania podejmowane przez PCBC. </w:t>
      </w:r>
      <w:r w:rsidR="00F710A3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W przypadku</w:t>
      </w:r>
      <w:r w:rsidR="006F444B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gdy to PCBC odpowiada za zapewnieni</w:t>
      </w:r>
      <w:r w:rsidR="00A21D69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zakwaterowania i</w:t>
      </w:r>
      <w:r w:rsidR="005B5EBA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odpowiednich środków lokomocji, ich koszty nie mogą stanowić znacznego</w:t>
      </w:r>
      <w:r w:rsidR="00FC6640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(niestandardowego)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obciążenia finansowego dla </w:t>
      </w:r>
      <w:r w:rsidR="00B67374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bookmarkEnd w:id="11"/>
      <w:r w:rsidR="00655579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11A8133B" w14:textId="4EB6C7AF" w:rsidR="0001386A" w:rsidRPr="0020035E" w:rsidRDefault="0001386A" w:rsidP="0020035E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przypadku realizacji </w:t>
      </w:r>
      <w:proofErr w:type="spellStart"/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auditu</w:t>
      </w:r>
      <w:proofErr w:type="spellEnd"/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poza granicami Polski, w sytuacji gdy niezbędne jest zatrudnienie tłumacza, koszty tłumacza pokrywa Producent.</w:t>
      </w:r>
    </w:p>
    <w:p w14:paraId="612338A9" w14:textId="7581DA7E" w:rsidR="00655579" w:rsidRPr="0020035E" w:rsidRDefault="00655579" w:rsidP="0020035E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Ostateczne rozliczenie procesu oceny zgodności następuje po wydaniu decyzji o: </w:t>
      </w:r>
    </w:p>
    <w:p w14:paraId="1F41A0A9" w14:textId="37953E58" w:rsidR="00655579" w:rsidRPr="0020035E" w:rsidRDefault="00655579" w:rsidP="00161B75">
      <w:pPr>
        <w:pStyle w:val="Akapitzlist"/>
        <w:widowControl w:val="0"/>
        <w:numPr>
          <w:ilvl w:val="0"/>
          <w:numId w:val="24"/>
        </w:numPr>
        <w:tabs>
          <w:tab w:val="num" w:pos="426"/>
        </w:tabs>
        <w:spacing w:beforeLines="20" w:before="48" w:afterLines="20" w:after="48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wydaniu </w:t>
      </w:r>
      <w:r w:rsidR="00904132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ertyfikatu, albo </w:t>
      </w:r>
    </w:p>
    <w:p w14:paraId="33BD3123" w14:textId="73857E32" w:rsidR="00655579" w:rsidRPr="0020035E" w:rsidRDefault="00655579" w:rsidP="00161B75">
      <w:pPr>
        <w:pStyle w:val="Akapitzlist"/>
        <w:widowControl w:val="0"/>
        <w:numPr>
          <w:ilvl w:val="0"/>
          <w:numId w:val="24"/>
        </w:numPr>
        <w:tabs>
          <w:tab w:val="num" w:pos="426"/>
        </w:tabs>
        <w:spacing w:beforeLines="20" w:before="48" w:afterLines="20" w:after="48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odmowie wydania </w:t>
      </w:r>
      <w:r w:rsidR="00904132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ertyfikatu.</w:t>
      </w:r>
    </w:p>
    <w:p w14:paraId="2E829C49" w14:textId="7C76C1F1" w:rsidR="00F66B2F" w:rsidRPr="0020035E" w:rsidRDefault="00655579" w:rsidP="00F66B2F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Wszelkie koszty PCBC związane z zawieszeniem </w:t>
      </w:r>
      <w:r w:rsidR="00F66B2F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lub 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przywróceniem </w:t>
      </w:r>
      <w:r w:rsidR="00904132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ertyfikatu poniesie</w:t>
      </w:r>
      <w:r w:rsidR="00F66B2F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67374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F66B2F" w:rsidRPr="0020035E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7A1A5FFB" w14:textId="46BDEAFB" w:rsidR="00655579" w:rsidRPr="0020035E" w:rsidRDefault="00655579" w:rsidP="00F66B2F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PCBC zastrzega sobie prawo do zakończenia lu</w:t>
      </w:r>
      <w:r w:rsidR="00B233B0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 przerwania oceny zgodności 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lub doprowadzenia </w:t>
      </w:r>
      <w:r w:rsidR="0046634A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do zawieszenia lub cofnięcia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04132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ertyfikatu, w przypadku, gdy </w:t>
      </w:r>
      <w:r w:rsidR="00B67374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uiści w terminie </w:t>
      </w:r>
      <w:r w:rsidR="00F66B2F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jakiejkolwiek 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płatności </w:t>
      </w:r>
      <w:r w:rsidR="00F66B2F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należnej PCBC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F66B2F" w:rsidRPr="0020035E">
        <w:rPr>
          <w:rFonts w:asciiTheme="majorHAnsi" w:hAnsiTheme="majorHAnsi" w:cstheme="minorHAnsi"/>
          <w:color w:val="000000"/>
          <w:sz w:val="22"/>
          <w:szCs w:val="22"/>
        </w:rPr>
        <w:t xml:space="preserve"> Postanowienia ust. 8-10 stosuje się wówczas odpowiednio.</w:t>
      </w:r>
    </w:p>
    <w:p w14:paraId="60E121E2" w14:textId="7EEC7220" w:rsidR="0014123B" w:rsidRPr="0020035E" w:rsidRDefault="0014123B" w:rsidP="0020035E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Opłaty z tytułu działań ekspertów i aud</w:t>
      </w:r>
      <w:r w:rsidR="005646F5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torów zależne są od ilości osób biorących udział</w:t>
      </w:r>
      <w:r w:rsidR="002C688B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wyznaczonych</w:t>
      </w:r>
      <w:r w:rsidR="002C688B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przez PCBC)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realizacji tych czynności. </w:t>
      </w:r>
    </w:p>
    <w:p w14:paraId="37DDC520" w14:textId="4FE338C0" w:rsidR="00A117B2" w:rsidRPr="0020035E" w:rsidRDefault="00A117B2" w:rsidP="0020035E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Wydane </w:t>
      </w:r>
      <w:r w:rsidR="00904132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ertyfikatu nastąpi po </w:t>
      </w:r>
      <w:r w:rsidR="004914DE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uiszczeniu wszystkich należności związanych z procesem certyfikacji zgodne z </w:t>
      </w:r>
      <w:r w:rsidR="00904132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ust. </w:t>
      </w:r>
      <w:r w:rsidR="006F444B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  <w:r w:rsidR="00302821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66B2F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-12 </w:t>
      </w:r>
      <w:r w:rsidR="002A0442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(w zakresie modułu, którego dotyczą)</w:t>
      </w:r>
      <w:r w:rsidR="008C525F"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C0264DF" w14:textId="615C5FD8" w:rsidR="00F66B2F" w:rsidRPr="0020035E" w:rsidRDefault="00F66B2F" w:rsidP="0020035E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Faktury będą doręczane Producentowi przez PCBC drogą elektroniczną, w formacie PDF, na adres e-mail: </w:t>
      </w:r>
      <w:r w:rsidR="00DF6A9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F6A9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FORMTEXT </w:instrText>
      </w:r>
      <w:r w:rsidR="00DF6A90" w:rsidRPr="00CE2931">
        <w:rPr>
          <w:rFonts w:asciiTheme="majorHAnsi" w:hAnsiTheme="majorHAnsi" w:cstheme="majorHAnsi"/>
          <w:color w:val="000000" w:themeColor="text1"/>
          <w:sz w:val="22"/>
          <w:szCs w:val="22"/>
        </w:rPr>
      </w:r>
      <w:r w:rsidR="00DF6A9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="00DF6A90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DF6A90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DF6A90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DF6A90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DF6A90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DF6A9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 w:rsidRP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20035E">
        <w:rPr>
          <w:rFonts w:asciiTheme="majorHAnsi" w:eastAsiaTheme="minorHAnsi" w:hAnsiTheme="majorHAnsi" w:cstheme="minorHAnsi"/>
          <w:color w:val="000000"/>
          <w:sz w:val="22"/>
          <w:szCs w:val="22"/>
          <w:lang w:eastAsia="en-US"/>
        </w:rPr>
        <w:t xml:space="preserve">Datą otrzymania przez Producenta faktury przesłanej w formie elektronicznej jest data dostarczenia wiadomości na serwer pocztowy obsługujący wskazane wyżej adresy e-mail. </w:t>
      </w:r>
    </w:p>
    <w:p w14:paraId="4752AEA9" w14:textId="63B458D7" w:rsidR="00F66B2F" w:rsidRPr="0020035E" w:rsidRDefault="00F66B2F" w:rsidP="0020035E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eastAsiaTheme="minorHAnsi" w:hAnsiTheme="majorHAnsi" w:cstheme="minorHAnsi"/>
          <w:color w:val="000000"/>
          <w:sz w:val="22"/>
          <w:szCs w:val="22"/>
          <w:lang w:eastAsia="en-US"/>
        </w:rPr>
        <w:t xml:space="preserve">PCBC oświadcza, że rachunek bankowy wskazany przez PCBC na fakturze, jako właściwy do realizacji rozliczeń z tytułu </w:t>
      </w:r>
      <w:r w:rsidR="0020035E" w:rsidRPr="0020035E">
        <w:rPr>
          <w:rFonts w:asciiTheme="majorHAnsi" w:eastAsiaTheme="minorHAnsi" w:hAnsiTheme="majorHAnsi" w:cstheme="minorHAnsi"/>
          <w:color w:val="000000"/>
          <w:sz w:val="22"/>
          <w:szCs w:val="22"/>
          <w:lang w:eastAsia="en-US"/>
        </w:rPr>
        <w:t xml:space="preserve">niniejszej </w:t>
      </w:r>
      <w:r w:rsidRPr="0020035E">
        <w:rPr>
          <w:rFonts w:asciiTheme="majorHAnsi" w:eastAsiaTheme="minorHAnsi" w:hAnsiTheme="majorHAnsi" w:cstheme="minorHAnsi"/>
          <w:color w:val="000000"/>
          <w:sz w:val="22"/>
          <w:szCs w:val="22"/>
          <w:lang w:eastAsia="en-US"/>
        </w:rPr>
        <w:t xml:space="preserve">umowy, będzie </w:t>
      </w:r>
      <w:r w:rsidR="0020035E" w:rsidRPr="0020035E">
        <w:rPr>
          <w:rFonts w:asciiTheme="majorHAnsi" w:eastAsiaTheme="minorHAnsi" w:hAnsiTheme="majorHAnsi" w:cstheme="minorHAnsi"/>
          <w:color w:val="000000"/>
          <w:sz w:val="22"/>
          <w:szCs w:val="22"/>
          <w:lang w:eastAsia="en-US"/>
        </w:rPr>
        <w:t xml:space="preserve">każdorazowo </w:t>
      </w:r>
      <w:r w:rsidRPr="0020035E">
        <w:rPr>
          <w:rFonts w:asciiTheme="majorHAnsi" w:eastAsiaTheme="minorHAnsi" w:hAnsiTheme="majorHAnsi" w:cstheme="minorHAnsi"/>
          <w:color w:val="000000"/>
          <w:sz w:val="22"/>
          <w:szCs w:val="22"/>
          <w:lang w:eastAsia="en-US"/>
        </w:rPr>
        <w:t xml:space="preserve">rachunkiem zgłoszonym organowi podatkowemu i wymienionym w rejestrze podatników VAT. </w:t>
      </w:r>
      <w:r w:rsidR="00AA6206" w:rsidRPr="00AA6206">
        <w:rPr>
          <w:rFonts w:asciiTheme="majorHAnsi" w:eastAsiaTheme="minorHAnsi" w:hAnsiTheme="majorHAnsi" w:cstheme="minorHAnsi"/>
          <w:color w:val="000000"/>
          <w:sz w:val="22"/>
          <w:szCs w:val="22"/>
          <w:lang w:eastAsia="en-US"/>
        </w:rPr>
        <w:t xml:space="preserve">W przypadku zidentyfikowania przed dokonaniem płatności, że wskazany przez PCBC rachunek bankowy, nie jest zgłoszony do urzędu skarbowego, tzn. nie widnieje na tzw. „białej liście podatników VAT”, Producent poinformuje o tym fakcie PCBC w celu złożenia wyjaśnienia w terminie nie dłuższym jak 7 dni roboczych. </w:t>
      </w:r>
      <w:r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>W takim przypadku Producent będzie uprawniony do wstrzymania się z zapłatą bez narażania się na jakiekolwiek obowiąz</w:t>
      </w:r>
      <w:r w:rsidR="004F2A7C">
        <w:rPr>
          <w:rFonts w:asciiTheme="majorHAnsi" w:eastAsiaTheme="minorHAnsi" w:hAnsiTheme="majorHAnsi" w:cstheme="minorHAnsi"/>
          <w:sz w:val="22"/>
          <w:szCs w:val="22"/>
          <w:lang w:eastAsia="en-US"/>
        </w:rPr>
        <w:t>ek zapłaty odsetek, odszkodowań</w:t>
      </w:r>
      <w:r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 lub jakiekolwiek inne dodatkowe koszty. Zmiana lub wskazanie dodatkowego rachunku bankowego nie wymaga aneksu do </w:t>
      </w:r>
      <w:r w:rsidR="00F24627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niniejszej </w:t>
      </w:r>
      <w:r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umowy, lecz konieczne jest zgłoszenie takiej zmiany w wraz z oświadczeniem, że jest on rachunkiem zgłoszonym organowi podatkowemu. </w:t>
      </w:r>
    </w:p>
    <w:p w14:paraId="796A042A" w14:textId="00285AF2" w:rsidR="00F66B2F" w:rsidRPr="0020035E" w:rsidRDefault="0020035E" w:rsidP="0020035E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>Poza wymaganiami wynikającymi z ust. 17, z</w:t>
      </w:r>
      <w:r w:rsidR="00F66B2F"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apłata </w:t>
      </w:r>
      <w:r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>następować będzie na podstawie</w:t>
      </w:r>
      <w:r w:rsidR="00F66B2F"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 prawidłowo wystawionej przez PCBC faktury VAT, w terminie </w:t>
      </w:r>
      <w:r w:rsidR="002A7976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14 </w:t>
      </w:r>
      <w:r w:rsidR="002A7976"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 </w:t>
      </w:r>
      <w:r w:rsidR="00F66B2F"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dni od dnia </w:t>
      </w:r>
      <w:r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jej </w:t>
      </w:r>
      <w:r w:rsidR="00F66B2F"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doręczenia Producentowi, </w:t>
      </w:r>
      <w:r w:rsidR="00F710A3">
        <w:rPr>
          <w:rFonts w:asciiTheme="majorHAnsi" w:eastAsiaTheme="minorHAnsi" w:hAnsiTheme="majorHAnsi" w:cstheme="minorHAnsi"/>
          <w:sz w:val="22"/>
          <w:szCs w:val="22"/>
          <w:lang w:eastAsia="en-US"/>
        </w:rPr>
        <w:br/>
      </w:r>
      <w:r w:rsidR="00F66B2F"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z wyjątkiem faktury za opłatę wstępną bezzwrotną, która płatna będzie w terminie </w:t>
      </w:r>
      <w:r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>wskazanym w ust. 6.</w:t>
      </w:r>
    </w:p>
    <w:p w14:paraId="3AE2393F" w14:textId="33946CB9" w:rsidR="00F66B2F" w:rsidRPr="0020035E" w:rsidRDefault="0020035E" w:rsidP="0020035E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12" w:name="_Hlk94686974"/>
      <w:bookmarkStart w:id="13" w:name="_Hlk93394396"/>
      <w:r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PCBC </w:t>
      </w:r>
      <w:r w:rsidRPr="0020035E">
        <w:rPr>
          <w:rFonts w:asciiTheme="majorHAnsi" w:hAnsiTheme="majorHAnsi" w:cs="Calibri"/>
          <w:sz w:val="22"/>
          <w:szCs w:val="22"/>
        </w:rPr>
        <w:t>oświadcza, że posiada</w:t>
      </w:r>
      <w:r w:rsidR="00F66B2F" w:rsidRPr="0020035E">
        <w:rPr>
          <w:rFonts w:asciiTheme="majorHAnsi" w:hAnsiTheme="majorHAnsi" w:cs="Calibri"/>
          <w:sz w:val="22"/>
          <w:szCs w:val="22"/>
        </w:rPr>
        <w:t xml:space="preserve"> </w:t>
      </w:r>
      <w:r w:rsidRPr="0020035E">
        <w:rPr>
          <w:rFonts w:asciiTheme="majorHAnsi" w:hAnsiTheme="majorHAnsi" w:cs="Calibri"/>
          <w:sz w:val="22"/>
          <w:szCs w:val="22"/>
        </w:rPr>
        <w:t>status dużego przedsiębiorcy</w:t>
      </w:r>
      <w:r w:rsidR="00F66B2F" w:rsidRPr="0020035E">
        <w:rPr>
          <w:rFonts w:asciiTheme="majorHAnsi" w:hAnsiTheme="majorHAnsi" w:cs="Calibri"/>
          <w:sz w:val="22"/>
          <w:szCs w:val="22"/>
        </w:rPr>
        <w:t xml:space="preserve"> zgodnie z </w:t>
      </w:r>
      <w:r w:rsidRPr="0020035E">
        <w:rPr>
          <w:rFonts w:asciiTheme="majorHAnsi" w:hAnsiTheme="majorHAnsi" w:cs="Calibri"/>
          <w:sz w:val="22"/>
          <w:szCs w:val="22"/>
        </w:rPr>
        <w:t>przepisami</w:t>
      </w:r>
      <w:r w:rsidR="00F66B2F" w:rsidRPr="0020035E">
        <w:rPr>
          <w:rFonts w:asciiTheme="majorHAnsi" w:hAnsiTheme="majorHAnsi" w:cs="Calibri"/>
          <w:sz w:val="22"/>
          <w:szCs w:val="22"/>
        </w:rPr>
        <w:t xml:space="preserve"> ustawy z dnia 8 marca 2013 roku o przeciwdziałaniu nadmiernym opóźnieniom w transakcjach handlowych</w:t>
      </w:r>
      <w:bookmarkEnd w:id="12"/>
      <w:bookmarkEnd w:id="13"/>
      <w:r w:rsidRPr="0020035E">
        <w:rPr>
          <w:rFonts w:asciiTheme="majorHAnsi" w:hAnsiTheme="majorHAnsi" w:cs="Calibri"/>
          <w:sz w:val="22"/>
          <w:szCs w:val="22"/>
        </w:rPr>
        <w:t>.</w:t>
      </w:r>
    </w:p>
    <w:p w14:paraId="445AC937" w14:textId="372EC3F9" w:rsidR="006812B8" w:rsidRPr="005413B9" w:rsidRDefault="0020035E" w:rsidP="005413B9">
      <w:pPr>
        <w:widowControl w:val="0"/>
        <w:numPr>
          <w:ilvl w:val="0"/>
          <w:numId w:val="5"/>
        </w:numPr>
        <w:tabs>
          <w:tab w:val="clear" w:pos="720"/>
        </w:tabs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035E">
        <w:rPr>
          <w:rFonts w:asciiTheme="majorHAnsi" w:eastAsiaTheme="minorHAnsi" w:hAnsiTheme="majorHAnsi" w:cstheme="minorHAnsi"/>
          <w:sz w:val="22"/>
          <w:szCs w:val="22"/>
          <w:lang w:eastAsia="en-US"/>
        </w:rPr>
        <w:t xml:space="preserve">Producent </w:t>
      </w:r>
      <w:r w:rsidRPr="0020035E">
        <w:rPr>
          <w:rFonts w:asciiTheme="majorHAnsi" w:hAnsiTheme="majorHAnsi" w:cs="Calibri"/>
          <w:sz w:val="22"/>
          <w:szCs w:val="22"/>
        </w:rPr>
        <w:t xml:space="preserve">oświadcza, że posiada status </w:t>
      </w:r>
      <w:r w:rsidR="00DF6A9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F6A9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FORMTEXT </w:instrText>
      </w:r>
      <w:r w:rsidR="00DF6A90" w:rsidRPr="00CE2931">
        <w:rPr>
          <w:rFonts w:asciiTheme="majorHAnsi" w:hAnsiTheme="majorHAnsi" w:cstheme="majorHAnsi"/>
          <w:color w:val="000000" w:themeColor="text1"/>
          <w:sz w:val="22"/>
          <w:szCs w:val="22"/>
        </w:rPr>
      </w:r>
      <w:r w:rsidR="00DF6A9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="00DF6A90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DF6A90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DF6A90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DF6A90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DF6A90"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="00DF6A90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 w:rsidRPr="0020035E">
        <w:rPr>
          <w:rFonts w:asciiTheme="majorHAnsi" w:hAnsiTheme="majorHAnsi" w:cs="Calibri"/>
          <w:sz w:val="22"/>
          <w:szCs w:val="22"/>
        </w:rPr>
        <w:t xml:space="preserve"> przedsiębiorcy zgodnie z przepisami ustawy z dnia 8 marca 2013 roku o przeciwdziałaniu nadmiernym opóźnieniom w transakcjach handlowych.</w:t>
      </w:r>
    </w:p>
    <w:p w14:paraId="69E6279B" w14:textId="77777777" w:rsidR="006812B8" w:rsidRPr="00CE2931" w:rsidRDefault="006812B8" w:rsidP="0020035E">
      <w:pPr>
        <w:widowControl w:val="0"/>
        <w:tabs>
          <w:tab w:val="num" w:pos="426"/>
        </w:tabs>
        <w:spacing w:beforeLines="20" w:before="48" w:afterLines="20" w:after="4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1B5E37B" w14:textId="21D906D0" w:rsidR="00DF4CCF" w:rsidRDefault="00655579" w:rsidP="00454F09">
      <w:pPr>
        <w:pStyle w:val="Nagwek1"/>
        <w:keepNext w:val="0"/>
        <w:widowControl w:val="0"/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sym w:font="Times New Roman" w:char="00A7"/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8.</w:t>
      </w:r>
      <w:r w:rsidR="00E95491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F4CC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Środki sankcyjne</w:t>
      </w:r>
    </w:p>
    <w:p w14:paraId="71F03A07" w14:textId="77777777" w:rsidR="0020035E" w:rsidRPr="0020035E" w:rsidRDefault="0020035E" w:rsidP="0020035E"/>
    <w:p w14:paraId="59E4B81A" w14:textId="7C84F7B8" w:rsidR="00DF4CCF" w:rsidRPr="00CE2931" w:rsidRDefault="00DF4CCF" w:rsidP="0020035E">
      <w:pPr>
        <w:pStyle w:val="Zwykytekst"/>
        <w:widowControl w:val="0"/>
        <w:numPr>
          <w:ilvl w:val="0"/>
          <w:numId w:val="12"/>
        </w:numPr>
        <w:spacing w:beforeLines="20" w:before="48" w:afterLines="20" w:after="48"/>
        <w:ind w:left="567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przypadku naruszenia zasad, na których przyznano </w:t>
      </w:r>
      <w:r w:rsidR="0020035E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20035E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ertyfikat</w:t>
      </w:r>
      <w:r w:rsidR="00ED290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albo w przypadku, gdy </w:t>
      </w:r>
      <w:r w:rsidR="00B67374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ED290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nie spełnia wymagań określonych przepisami prawa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PCBC</w:t>
      </w:r>
      <w:r w:rsidR="00200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stosuje następujące sankcje:</w:t>
      </w:r>
    </w:p>
    <w:p w14:paraId="3677B628" w14:textId="1561C925" w:rsidR="00E80BBF" w:rsidRPr="00CE2931" w:rsidRDefault="003A6C7C" w:rsidP="0020035E">
      <w:pPr>
        <w:pStyle w:val="Nagwek1"/>
        <w:keepNext w:val="0"/>
        <w:widowControl w:val="0"/>
        <w:numPr>
          <w:ilvl w:val="1"/>
          <w:numId w:val="17"/>
        </w:numPr>
        <w:spacing w:beforeLines="20" w:before="48" w:afterLines="20" w:after="48"/>
        <w:ind w:left="1134" w:hanging="567"/>
        <w:jc w:val="both"/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Z</w:t>
      </w:r>
      <w:r w:rsidR="00E80BBF"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awieszenie </w:t>
      </w:r>
      <w:r w:rsidR="0020035E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C</w:t>
      </w:r>
      <w:r w:rsidR="0020035E"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ertyfikatu </w:t>
      </w:r>
      <w:r w:rsidR="00E80BBF"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ze wskazaniem okresu zawieszenia</w:t>
      </w:r>
      <w:r w:rsidR="00D34897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, przyczyn zawieszenia</w:t>
      </w:r>
      <w:r w:rsidR="00E80BBF"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r w:rsidR="00D34897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i</w:t>
      </w:r>
      <w:r w:rsidR="00D34897" w:rsidRPr="00D34897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warunkami przywrócenia </w:t>
      </w:r>
      <w:r w:rsidR="00904132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C</w:t>
      </w:r>
      <w:r w:rsidR="00F7342C" w:rsidRPr="00D34897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ertyfika</w:t>
      </w:r>
      <w:r w:rsidR="00F7342C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tu</w:t>
      </w:r>
      <w:r w:rsidR="00F7342C" w:rsidRPr="00D34897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r w:rsidR="00D34897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o</w:t>
      </w:r>
      <w:r w:rsidR="00E80BBF"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raz informacją o zakazie znakowania produktu</w:t>
      </w:r>
      <w:r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nawozowego UE</w:t>
      </w:r>
      <w:r w:rsidR="00E80BBF"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znakiem CE</w:t>
      </w:r>
      <w:r w:rsidR="00EF4752"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. </w:t>
      </w:r>
      <w:r w:rsidR="00E80BBF" w:rsidRPr="00CE293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 xml:space="preserve">Zawieszenie </w:t>
      </w:r>
      <w:r w:rsidR="00904132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C</w:t>
      </w:r>
      <w:r w:rsidR="00E80BBF" w:rsidRPr="00CE293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 xml:space="preserve">ertyfikatu </w:t>
      </w:r>
      <w:r w:rsidR="00E80BBF"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następuje</w:t>
      </w:r>
      <w:r w:rsidR="00ED2902"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r w:rsidR="00FE1F24"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w szczególności</w:t>
      </w:r>
      <w:r w:rsidR="00E80BBF" w:rsidRPr="00CE293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: </w:t>
      </w:r>
    </w:p>
    <w:p w14:paraId="1238FF20" w14:textId="7AC8605C" w:rsidR="00A477D5" w:rsidRPr="00E613E8" w:rsidRDefault="00A477D5" w:rsidP="0020035E">
      <w:pPr>
        <w:widowControl w:val="0"/>
        <w:numPr>
          <w:ilvl w:val="0"/>
          <w:numId w:val="13"/>
        </w:numPr>
        <w:spacing w:beforeLines="20" w:before="48" w:afterLines="20" w:after="48"/>
        <w:ind w:left="709" w:firstLine="425"/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14" w:name="_Hlk44077116"/>
      <w:r w:rsidRPr="00E613E8">
        <w:rPr>
          <w:rFonts w:asciiTheme="majorHAnsi" w:hAnsiTheme="majorHAnsi" w:cstheme="majorHAnsi"/>
          <w:bCs/>
          <w:sz w:val="22"/>
          <w:szCs w:val="22"/>
        </w:rPr>
        <w:t xml:space="preserve">na wniosek posiadacza </w:t>
      </w:r>
      <w:r w:rsidR="00904132" w:rsidRPr="00E613E8">
        <w:rPr>
          <w:rFonts w:asciiTheme="majorHAnsi" w:hAnsiTheme="majorHAnsi" w:cstheme="majorHAnsi"/>
          <w:bCs/>
          <w:sz w:val="22"/>
          <w:szCs w:val="22"/>
        </w:rPr>
        <w:t>C</w:t>
      </w:r>
      <w:r w:rsidRPr="00E613E8">
        <w:rPr>
          <w:rFonts w:asciiTheme="majorHAnsi" w:hAnsiTheme="majorHAnsi" w:cstheme="majorHAnsi"/>
          <w:bCs/>
          <w:sz w:val="22"/>
          <w:szCs w:val="22"/>
        </w:rPr>
        <w:t>ertyfikatu</w:t>
      </w:r>
      <w:r w:rsidR="007667BB" w:rsidRPr="00E613E8">
        <w:rPr>
          <w:rFonts w:asciiTheme="majorHAnsi" w:hAnsiTheme="majorHAnsi" w:cstheme="majorHAnsi"/>
          <w:bCs/>
          <w:sz w:val="22"/>
          <w:szCs w:val="22"/>
        </w:rPr>
        <w:t>,</w:t>
      </w:r>
    </w:p>
    <w:p w14:paraId="2993E7E9" w14:textId="1E8A6ED6" w:rsidR="00EF4752" w:rsidRPr="00073098" w:rsidRDefault="00E80BBF" w:rsidP="00581867">
      <w:pPr>
        <w:widowControl w:val="0"/>
        <w:numPr>
          <w:ilvl w:val="0"/>
          <w:numId w:val="13"/>
        </w:numPr>
        <w:spacing w:beforeLines="20" w:before="48" w:afterLines="20" w:after="48"/>
        <w:ind w:left="1418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13E8">
        <w:rPr>
          <w:rFonts w:asciiTheme="majorHAnsi" w:hAnsiTheme="majorHAnsi" w:cstheme="majorHAnsi"/>
          <w:bCs/>
          <w:sz w:val="22"/>
          <w:szCs w:val="22"/>
        </w:rPr>
        <w:t xml:space="preserve">negatywnych wyników </w:t>
      </w:r>
      <w:proofErr w:type="spellStart"/>
      <w:r w:rsidR="009F23DB">
        <w:rPr>
          <w:rFonts w:asciiTheme="majorHAnsi" w:hAnsiTheme="majorHAnsi" w:cstheme="majorHAnsi"/>
          <w:bCs/>
          <w:sz w:val="22"/>
          <w:szCs w:val="22"/>
        </w:rPr>
        <w:t>auditu</w:t>
      </w:r>
      <w:proofErr w:type="spellEnd"/>
      <w:r w:rsidR="009F23D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613E8">
        <w:rPr>
          <w:rFonts w:asciiTheme="majorHAnsi" w:hAnsiTheme="majorHAnsi" w:cstheme="majorHAnsi"/>
          <w:bCs/>
          <w:sz w:val="22"/>
          <w:szCs w:val="22"/>
        </w:rPr>
        <w:t xml:space="preserve">nadzoru nad </w:t>
      </w:r>
      <w:r w:rsidR="00904132" w:rsidRPr="00E613E8">
        <w:rPr>
          <w:rFonts w:asciiTheme="majorHAnsi" w:hAnsiTheme="majorHAnsi" w:cstheme="majorHAnsi"/>
          <w:bCs/>
          <w:sz w:val="22"/>
          <w:szCs w:val="22"/>
        </w:rPr>
        <w:t>C</w:t>
      </w:r>
      <w:r w:rsidRPr="00E613E8">
        <w:rPr>
          <w:rFonts w:asciiTheme="majorHAnsi" w:hAnsiTheme="majorHAnsi" w:cstheme="majorHAnsi"/>
          <w:bCs/>
          <w:sz w:val="22"/>
          <w:szCs w:val="22"/>
        </w:rPr>
        <w:t>ertyfikatem</w:t>
      </w:r>
      <w:r w:rsidR="00073098" w:rsidRPr="00073098">
        <w:rPr>
          <w:rFonts w:ascii="Calibri" w:hAnsi="Calibri" w:cs="Calibri"/>
          <w:bCs/>
          <w:iCs/>
          <w:color w:val="000000"/>
          <w:szCs w:val="24"/>
        </w:rPr>
        <w:t xml:space="preserve"> </w:t>
      </w:r>
      <w:r w:rsidR="00073098" w:rsidRPr="00073098">
        <w:rPr>
          <w:rFonts w:ascii="Calibri" w:hAnsi="Calibri" w:cs="Calibri"/>
          <w:bCs/>
          <w:iCs/>
          <w:color w:val="000000"/>
          <w:sz w:val="22"/>
          <w:szCs w:val="22"/>
        </w:rPr>
        <w:t>brak przedstawienia wystarczających dowodów na zamknięci</w:t>
      </w:r>
      <w:r w:rsidR="00D737AC">
        <w:rPr>
          <w:rFonts w:ascii="Calibri" w:hAnsi="Calibri" w:cs="Calibri"/>
          <w:bCs/>
          <w:iCs/>
          <w:color w:val="000000"/>
          <w:sz w:val="22"/>
          <w:szCs w:val="22"/>
        </w:rPr>
        <w:t>e</w:t>
      </w:r>
      <w:r w:rsidR="00073098" w:rsidRPr="00073098">
        <w:rPr>
          <w:rFonts w:ascii="Calibri" w:hAnsi="Calibri" w:cs="Calibri"/>
          <w:bCs/>
          <w:iCs/>
          <w:color w:val="000000"/>
          <w:sz w:val="22"/>
          <w:szCs w:val="22"/>
        </w:rPr>
        <w:t xml:space="preserve"> niezgodności i spostrzeżeń,</w:t>
      </w:r>
    </w:p>
    <w:p w14:paraId="40B04B91" w14:textId="284CE2D6" w:rsidR="00EF4752" w:rsidRPr="00E613E8" w:rsidRDefault="00E80BBF" w:rsidP="00156965">
      <w:pPr>
        <w:widowControl w:val="0"/>
        <w:numPr>
          <w:ilvl w:val="0"/>
          <w:numId w:val="13"/>
        </w:numPr>
        <w:spacing w:beforeLines="20" w:before="48" w:afterLines="20" w:after="48"/>
        <w:ind w:left="1418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13E8">
        <w:rPr>
          <w:rFonts w:asciiTheme="majorHAnsi" w:hAnsiTheme="majorHAnsi" w:cstheme="majorHAnsi"/>
          <w:bCs/>
          <w:sz w:val="22"/>
          <w:szCs w:val="22"/>
        </w:rPr>
        <w:t>nieprzedstawienia</w:t>
      </w:r>
      <w:r w:rsidR="003A2C33" w:rsidRPr="00E613E8">
        <w:rPr>
          <w:rFonts w:asciiTheme="majorHAnsi" w:hAnsiTheme="majorHAnsi" w:cstheme="majorHAnsi"/>
          <w:bCs/>
          <w:sz w:val="22"/>
          <w:szCs w:val="22"/>
        </w:rPr>
        <w:t xml:space="preserve"> w wyznaczonym terminie</w:t>
      </w:r>
      <w:r w:rsidRPr="00E613E8">
        <w:rPr>
          <w:rFonts w:asciiTheme="majorHAnsi" w:hAnsiTheme="majorHAnsi" w:cstheme="majorHAnsi"/>
          <w:bCs/>
          <w:sz w:val="22"/>
          <w:szCs w:val="22"/>
        </w:rPr>
        <w:t xml:space="preserve"> dowodów na zgodność z wymaganiami zasadniczymi określonymi w aktualnym </w:t>
      </w:r>
      <w:r w:rsidR="0041748B" w:rsidRPr="00E613E8">
        <w:rPr>
          <w:rFonts w:asciiTheme="majorHAnsi" w:hAnsiTheme="majorHAnsi" w:cstheme="majorHAnsi"/>
          <w:bCs/>
          <w:sz w:val="22"/>
          <w:szCs w:val="22"/>
        </w:rPr>
        <w:t>R</w:t>
      </w:r>
      <w:r w:rsidRPr="00E613E8">
        <w:rPr>
          <w:rFonts w:asciiTheme="majorHAnsi" w:hAnsiTheme="majorHAnsi" w:cstheme="majorHAnsi"/>
          <w:bCs/>
          <w:sz w:val="22"/>
          <w:szCs w:val="22"/>
        </w:rPr>
        <w:t xml:space="preserve">ozporządzeniu </w:t>
      </w:r>
      <w:r w:rsidR="00792332" w:rsidRPr="00E613E8">
        <w:rPr>
          <w:rFonts w:asciiTheme="majorHAnsi" w:hAnsiTheme="majorHAnsi" w:cstheme="majorHAnsi"/>
          <w:bCs/>
          <w:sz w:val="22"/>
          <w:szCs w:val="22"/>
        </w:rPr>
        <w:t xml:space="preserve">(UE) </w:t>
      </w:r>
      <w:r w:rsidR="0041748B" w:rsidRPr="00E613E8">
        <w:rPr>
          <w:rFonts w:asciiTheme="majorHAnsi" w:hAnsiTheme="majorHAnsi" w:cstheme="majorHAnsi"/>
          <w:bCs/>
          <w:sz w:val="22"/>
          <w:szCs w:val="22"/>
        </w:rPr>
        <w:t>2019/1009 oraz</w:t>
      </w:r>
      <w:r w:rsidRPr="00E613E8">
        <w:rPr>
          <w:rFonts w:asciiTheme="majorHAnsi" w:hAnsiTheme="majorHAnsi" w:cstheme="majorHAnsi"/>
          <w:bCs/>
          <w:sz w:val="22"/>
          <w:szCs w:val="22"/>
        </w:rPr>
        <w:t xml:space="preserve"> właściwymi przepisami prawa krajowego,</w:t>
      </w:r>
    </w:p>
    <w:p w14:paraId="7E5E4D09" w14:textId="55AD4FBA" w:rsidR="00EF4752" w:rsidRPr="00E613E8" w:rsidRDefault="00E80BBF" w:rsidP="00156965">
      <w:pPr>
        <w:widowControl w:val="0"/>
        <w:numPr>
          <w:ilvl w:val="0"/>
          <w:numId w:val="13"/>
        </w:numPr>
        <w:spacing w:beforeLines="20" w:before="48" w:afterLines="20" w:after="48"/>
        <w:ind w:left="1418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13E8">
        <w:rPr>
          <w:rFonts w:asciiTheme="majorHAnsi" w:hAnsiTheme="majorHAnsi" w:cstheme="majorHAnsi"/>
          <w:bCs/>
          <w:sz w:val="22"/>
          <w:szCs w:val="22"/>
        </w:rPr>
        <w:t xml:space="preserve">stwierdzenia zmian w </w:t>
      </w:r>
      <w:r w:rsidR="00792332" w:rsidRPr="00E613E8">
        <w:rPr>
          <w:rFonts w:asciiTheme="majorHAnsi" w:hAnsiTheme="majorHAnsi" w:cstheme="majorHAnsi"/>
          <w:bCs/>
          <w:sz w:val="22"/>
          <w:szCs w:val="22"/>
        </w:rPr>
        <w:t>recepturze</w:t>
      </w:r>
      <w:r w:rsidRPr="00E613E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67374" w:rsidRPr="00E613E8">
        <w:rPr>
          <w:rFonts w:asciiTheme="majorHAnsi" w:hAnsiTheme="majorHAnsi" w:cstheme="majorHAnsi"/>
          <w:bCs/>
          <w:sz w:val="22"/>
          <w:szCs w:val="22"/>
        </w:rPr>
        <w:t>produktu</w:t>
      </w:r>
      <w:r w:rsidR="00904132" w:rsidRPr="00E613E8">
        <w:rPr>
          <w:rFonts w:asciiTheme="majorHAnsi" w:hAnsiTheme="majorHAnsi" w:cstheme="majorHAnsi"/>
          <w:bCs/>
          <w:sz w:val="22"/>
          <w:szCs w:val="22"/>
        </w:rPr>
        <w:t xml:space="preserve"> nawozowego UE</w:t>
      </w:r>
      <w:r w:rsidRPr="00E613E8">
        <w:rPr>
          <w:rFonts w:asciiTheme="majorHAnsi" w:hAnsiTheme="majorHAnsi" w:cstheme="majorHAnsi"/>
          <w:bCs/>
          <w:sz w:val="22"/>
          <w:szCs w:val="22"/>
        </w:rPr>
        <w:t xml:space="preserve"> lub dokumentacji technicznej, które nie zostały zatwierdzone przez jednostkę notyfikowaną PCBC,</w:t>
      </w:r>
    </w:p>
    <w:p w14:paraId="02BE5E04" w14:textId="77777777" w:rsidR="00EF4752" w:rsidRPr="00E613E8" w:rsidRDefault="00E80BBF" w:rsidP="00156965">
      <w:pPr>
        <w:widowControl w:val="0"/>
        <w:numPr>
          <w:ilvl w:val="0"/>
          <w:numId w:val="13"/>
        </w:numPr>
        <w:spacing w:beforeLines="20" w:before="48" w:afterLines="20" w:after="48"/>
        <w:ind w:left="1418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13E8">
        <w:rPr>
          <w:rFonts w:asciiTheme="majorHAnsi" w:hAnsiTheme="majorHAnsi" w:cstheme="majorHAnsi"/>
          <w:bCs/>
          <w:sz w:val="22"/>
          <w:szCs w:val="22"/>
        </w:rPr>
        <w:t>braku realizacji działań w stosunku do stwierdzonych niezgodności, spostrzeżeń lub uwag,</w:t>
      </w:r>
    </w:p>
    <w:p w14:paraId="5C2969C9" w14:textId="4D174421" w:rsidR="00EF4752" w:rsidRPr="00E613E8" w:rsidRDefault="00E80BBF" w:rsidP="00156965">
      <w:pPr>
        <w:widowControl w:val="0"/>
        <w:numPr>
          <w:ilvl w:val="0"/>
          <w:numId w:val="13"/>
        </w:numPr>
        <w:spacing w:beforeLines="20" w:before="48" w:afterLines="20" w:after="48"/>
        <w:ind w:left="1418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13E8">
        <w:rPr>
          <w:rFonts w:asciiTheme="majorHAnsi" w:hAnsiTheme="majorHAnsi" w:cstheme="majorHAnsi"/>
          <w:bCs/>
          <w:sz w:val="22"/>
          <w:szCs w:val="22"/>
        </w:rPr>
        <w:t xml:space="preserve">wycofania </w:t>
      </w:r>
      <w:r w:rsidR="00B67374" w:rsidRPr="00E613E8">
        <w:rPr>
          <w:rFonts w:asciiTheme="majorHAnsi" w:hAnsiTheme="majorHAnsi" w:cstheme="majorHAnsi"/>
          <w:bCs/>
          <w:sz w:val="22"/>
          <w:szCs w:val="22"/>
        </w:rPr>
        <w:t xml:space="preserve">produktu </w:t>
      </w:r>
      <w:r w:rsidR="00A477D5" w:rsidRPr="00E613E8">
        <w:rPr>
          <w:rFonts w:asciiTheme="majorHAnsi" w:hAnsiTheme="majorHAnsi" w:cstheme="majorHAnsi"/>
          <w:bCs/>
          <w:sz w:val="22"/>
          <w:szCs w:val="22"/>
        </w:rPr>
        <w:t xml:space="preserve">nawozowego UE </w:t>
      </w:r>
      <w:r w:rsidRPr="00E613E8">
        <w:rPr>
          <w:rFonts w:asciiTheme="majorHAnsi" w:hAnsiTheme="majorHAnsi" w:cstheme="majorHAnsi"/>
          <w:bCs/>
          <w:sz w:val="22"/>
          <w:szCs w:val="22"/>
        </w:rPr>
        <w:t>z obrotu,</w:t>
      </w:r>
    </w:p>
    <w:p w14:paraId="3BCC35EA" w14:textId="1820FC81" w:rsidR="00EF4752" w:rsidRPr="00E613E8" w:rsidRDefault="00E80BBF" w:rsidP="00156965">
      <w:pPr>
        <w:widowControl w:val="0"/>
        <w:numPr>
          <w:ilvl w:val="0"/>
          <w:numId w:val="13"/>
        </w:numPr>
        <w:spacing w:beforeLines="20" w:before="48" w:afterLines="20" w:after="48"/>
        <w:ind w:left="1418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13E8">
        <w:rPr>
          <w:rFonts w:asciiTheme="majorHAnsi" w:hAnsiTheme="majorHAnsi" w:cstheme="majorHAnsi"/>
          <w:bCs/>
          <w:sz w:val="22"/>
          <w:szCs w:val="22"/>
        </w:rPr>
        <w:t xml:space="preserve">zmiany klasyfikacji/kwalifikacji </w:t>
      </w:r>
      <w:r w:rsidR="00B67374" w:rsidRPr="00E613E8">
        <w:rPr>
          <w:rFonts w:asciiTheme="majorHAnsi" w:hAnsiTheme="majorHAnsi" w:cstheme="majorHAnsi"/>
          <w:bCs/>
          <w:sz w:val="22"/>
          <w:szCs w:val="22"/>
        </w:rPr>
        <w:t xml:space="preserve">produktu </w:t>
      </w:r>
      <w:r w:rsidR="00A477D5" w:rsidRPr="00E613E8">
        <w:rPr>
          <w:rFonts w:asciiTheme="majorHAnsi" w:hAnsiTheme="majorHAnsi" w:cstheme="majorHAnsi"/>
          <w:sz w:val="22"/>
          <w:szCs w:val="22"/>
        </w:rPr>
        <w:t>nawozowego UE</w:t>
      </w:r>
      <w:r w:rsidRPr="00E613E8">
        <w:rPr>
          <w:rFonts w:asciiTheme="majorHAnsi" w:hAnsiTheme="majorHAnsi" w:cstheme="majorHAnsi"/>
          <w:bCs/>
          <w:sz w:val="22"/>
          <w:szCs w:val="22"/>
        </w:rPr>
        <w:t>,</w:t>
      </w:r>
    </w:p>
    <w:p w14:paraId="5FF79E2E" w14:textId="77777777" w:rsidR="00A477D5" w:rsidRPr="00E613E8" w:rsidRDefault="00A477D5" w:rsidP="00156965">
      <w:pPr>
        <w:widowControl w:val="0"/>
        <w:numPr>
          <w:ilvl w:val="0"/>
          <w:numId w:val="13"/>
        </w:numPr>
        <w:spacing w:beforeLines="20" w:before="48" w:afterLines="20" w:after="48"/>
        <w:ind w:left="1418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13E8">
        <w:rPr>
          <w:rFonts w:asciiTheme="majorHAnsi" w:hAnsiTheme="majorHAnsi" w:cstheme="majorHAnsi"/>
          <w:bCs/>
          <w:sz w:val="22"/>
          <w:szCs w:val="22"/>
        </w:rPr>
        <w:t>braków w systemie zapewnienia jakości produkcji,</w:t>
      </w:r>
    </w:p>
    <w:p w14:paraId="243D2016" w14:textId="5CBAD5C9" w:rsidR="00EF4752" w:rsidRPr="00E613E8" w:rsidRDefault="00E80BBF" w:rsidP="00156965">
      <w:pPr>
        <w:widowControl w:val="0"/>
        <w:numPr>
          <w:ilvl w:val="0"/>
          <w:numId w:val="13"/>
        </w:numPr>
        <w:spacing w:beforeLines="20" w:before="48" w:afterLines="20" w:after="48"/>
        <w:ind w:left="1418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13E8">
        <w:rPr>
          <w:rFonts w:asciiTheme="majorHAnsi" w:hAnsiTheme="majorHAnsi" w:cstheme="majorHAnsi"/>
          <w:sz w:val="22"/>
          <w:szCs w:val="22"/>
        </w:rPr>
        <w:t xml:space="preserve">niewyrażenia przez </w:t>
      </w:r>
      <w:r w:rsidR="00B67374" w:rsidRPr="00E613E8">
        <w:rPr>
          <w:rFonts w:asciiTheme="majorHAnsi" w:hAnsiTheme="majorHAnsi" w:cstheme="majorHAnsi"/>
          <w:sz w:val="22"/>
          <w:szCs w:val="22"/>
        </w:rPr>
        <w:t>Producent</w:t>
      </w:r>
      <w:r w:rsidRPr="00E613E8">
        <w:rPr>
          <w:rFonts w:asciiTheme="majorHAnsi" w:hAnsiTheme="majorHAnsi" w:cstheme="majorHAnsi"/>
          <w:sz w:val="22"/>
          <w:szCs w:val="22"/>
        </w:rPr>
        <w:t xml:space="preserve">a zgody na przeprowadzenie </w:t>
      </w:r>
      <w:proofErr w:type="spellStart"/>
      <w:r w:rsidR="0001386A" w:rsidRPr="00E613E8">
        <w:rPr>
          <w:rFonts w:asciiTheme="majorHAnsi" w:hAnsiTheme="majorHAnsi" w:cstheme="majorHAnsi"/>
          <w:sz w:val="22"/>
          <w:szCs w:val="22"/>
        </w:rPr>
        <w:t>auditów</w:t>
      </w:r>
      <w:proofErr w:type="spellEnd"/>
      <w:r w:rsidR="000B21C0" w:rsidRPr="00E613E8">
        <w:rPr>
          <w:rFonts w:asciiTheme="majorHAnsi" w:hAnsiTheme="majorHAnsi" w:cstheme="majorHAnsi"/>
          <w:sz w:val="22"/>
          <w:szCs w:val="22"/>
        </w:rPr>
        <w:t xml:space="preserve"> nadzoru, </w:t>
      </w:r>
      <w:r w:rsidR="0001386A" w:rsidRPr="00E613E8">
        <w:rPr>
          <w:rFonts w:asciiTheme="majorHAnsi" w:hAnsiTheme="majorHAnsi" w:cstheme="majorHAnsi"/>
          <w:sz w:val="22"/>
          <w:szCs w:val="22"/>
        </w:rPr>
        <w:t>wizyt</w:t>
      </w:r>
      <w:r w:rsidRPr="00E613E8">
        <w:rPr>
          <w:rFonts w:asciiTheme="majorHAnsi" w:hAnsiTheme="majorHAnsi" w:cstheme="majorHAnsi"/>
          <w:sz w:val="22"/>
          <w:szCs w:val="22"/>
        </w:rPr>
        <w:t xml:space="preserve"> </w:t>
      </w:r>
      <w:r w:rsidR="00D025D3" w:rsidRPr="00E613E8">
        <w:rPr>
          <w:rFonts w:asciiTheme="majorHAnsi" w:hAnsiTheme="majorHAnsi" w:cstheme="majorHAnsi"/>
          <w:sz w:val="22"/>
          <w:szCs w:val="22"/>
        </w:rPr>
        <w:t>niezapowiedzianych</w:t>
      </w:r>
      <w:r w:rsidR="000B21C0" w:rsidRPr="00E613E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0B21C0" w:rsidRPr="00E613E8">
        <w:rPr>
          <w:rFonts w:asciiTheme="majorHAnsi" w:hAnsiTheme="majorHAnsi" w:cstheme="majorHAnsi"/>
          <w:sz w:val="22"/>
          <w:szCs w:val="22"/>
        </w:rPr>
        <w:t>auditów</w:t>
      </w:r>
      <w:proofErr w:type="spellEnd"/>
      <w:r w:rsidR="000B21C0" w:rsidRPr="00E613E8">
        <w:rPr>
          <w:rFonts w:asciiTheme="majorHAnsi" w:hAnsiTheme="majorHAnsi" w:cstheme="majorHAnsi"/>
          <w:sz w:val="22"/>
          <w:szCs w:val="22"/>
        </w:rPr>
        <w:t xml:space="preserve"> niezapowiedzianych</w:t>
      </w:r>
      <w:r w:rsidRPr="00E613E8">
        <w:rPr>
          <w:rFonts w:asciiTheme="majorHAnsi" w:hAnsiTheme="majorHAnsi" w:cstheme="majorHAnsi"/>
          <w:sz w:val="22"/>
          <w:szCs w:val="22"/>
        </w:rPr>
        <w:t>,</w:t>
      </w:r>
    </w:p>
    <w:p w14:paraId="5804A9CF" w14:textId="7E5941CE" w:rsidR="00EF4752" w:rsidRPr="00E613E8" w:rsidRDefault="00E80BBF" w:rsidP="00156965">
      <w:pPr>
        <w:widowControl w:val="0"/>
        <w:numPr>
          <w:ilvl w:val="0"/>
          <w:numId w:val="13"/>
        </w:numPr>
        <w:spacing w:beforeLines="20" w:before="48" w:afterLines="20" w:after="48"/>
        <w:ind w:left="1418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13E8">
        <w:rPr>
          <w:rFonts w:asciiTheme="majorHAnsi" w:hAnsiTheme="majorHAnsi" w:cstheme="majorHAnsi"/>
          <w:sz w:val="22"/>
          <w:szCs w:val="22"/>
        </w:rPr>
        <w:lastRenderedPageBreak/>
        <w:t xml:space="preserve">stwierdzenia przekroczenia przez </w:t>
      </w:r>
      <w:r w:rsidR="00B67374" w:rsidRPr="00E613E8">
        <w:rPr>
          <w:rFonts w:asciiTheme="majorHAnsi" w:hAnsiTheme="majorHAnsi" w:cstheme="majorHAnsi"/>
          <w:sz w:val="22"/>
          <w:szCs w:val="22"/>
        </w:rPr>
        <w:t>Producent</w:t>
      </w:r>
      <w:r w:rsidRPr="00E613E8">
        <w:rPr>
          <w:rFonts w:asciiTheme="majorHAnsi" w:hAnsiTheme="majorHAnsi" w:cstheme="majorHAnsi"/>
          <w:sz w:val="22"/>
          <w:szCs w:val="22"/>
        </w:rPr>
        <w:t xml:space="preserve">a praw i obowiązków określonych w niniejszej umowie, </w:t>
      </w:r>
    </w:p>
    <w:p w14:paraId="3974B0E0" w14:textId="77777777" w:rsidR="0068627A" w:rsidRPr="00E613E8" w:rsidRDefault="00E80BBF" w:rsidP="00156965">
      <w:pPr>
        <w:widowControl w:val="0"/>
        <w:numPr>
          <w:ilvl w:val="0"/>
          <w:numId w:val="13"/>
        </w:numPr>
        <w:spacing w:beforeLines="20" w:before="48" w:afterLines="20" w:after="48"/>
        <w:ind w:left="1418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13E8">
        <w:rPr>
          <w:rFonts w:asciiTheme="majorHAnsi" w:hAnsiTheme="majorHAnsi" w:cstheme="majorHAnsi"/>
          <w:sz w:val="22"/>
          <w:szCs w:val="22"/>
        </w:rPr>
        <w:t>niespełnienia w</w:t>
      </w:r>
      <w:r w:rsidR="0046634A" w:rsidRPr="00E613E8">
        <w:rPr>
          <w:rFonts w:asciiTheme="majorHAnsi" w:hAnsiTheme="majorHAnsi" w:cstheme="majorHAnsi"/>
          <w:sz w:val="22"/>
          <w:szCs w:val="22"/>
        </w:rPr>
        <w:t xml:space="preserve"> ustalonych terminach</w:t>
      </w:r>
      <w:r w:rsidRPr="00E613E8">
        <w:rPr>
          <w:rFonts w:asciiTheme="majorHAnsi" w:hAnsiTheme="majorHAnsi" w:cstheme="majorHAnsi"/>
          <w:sz w:val="22"/>
          <w:szCs w:val="22"/>
        </w:rPr>
        <w:t xml:space="preserve"> zobowiązań finansowych wobec PCBC</w:t>
      </w:r>
      <w:r w:rsidR="0068627A" w:rsidRPr="00E613E8">
        <w:rPr>
          <w:rFonts w:asciiTheme="majorHAnsi" w:hAnsiTheme="majorHAnsi" w:cstheme="majorHAnsi"/>
          <w:sz w:val="22"/>
          <w:szCs w:val="22"/>
        </w:rPr>
        <w:t>,</w:t>
      </w:r>
    </w:p>
    <w:p w14:paraId="55F7E096" w14:textId="7EDC51AA" w:rsidR="00EF4752" w:rsidRPr="0068627A" w:rsidRDefault="0046634A" w:rsidP="00FC112D">
      <w:pPr>
        <w:widowControl w:val="0"/>
        <w:numPr>
          <w:ilvl w:val="0"/>
          <w:numId w:val="13"/>
        </w:numPr>
        <w:spacing w:beforeLines="20" w:before="48" w:afterLines="20" w:after="48"/>
        <w:ind w:left="1418" w:hanging="284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E613E8">
        <w:rPr>
          <w:rFonts w:asciiTheme="majorHAnsi" w:hAnsiTheme="majorHAnsi" w:cstheme="majorHAnsi"/>
          <w:bCs/>
          <w:sz w:val="22"/>
          <w:szCs w:val="22"/>
        </w:rPr>
        <w:t xml:space="preserve">innego </w:t>
      </w:r>
      <w:r w:rsidR="00E80BBF" w:rsidRPr="00E613E8">
        <w:rPr>
          <w:rFonts w:asciiTheme="majorHAnsi" w:hAnsiTheme="majorHAnsi" w:cstheme="majorHAnsi"/>
          <w:bCs/>
          <w:sz w:val="22"/>
          <w:szCs w:val="22"/>
        </w:rPr>
        <w:t>istotnego naruszenia</w:t>
      </w:r>
      <w:r w:rsidR="000163E4" w:rsidRPr="00E613E8">
        <w:rPr>
          <w:rFonts w:asciiTheme="majorHAnsi" w:hAnsiTheme="majorHAnsi" w:cstheme="majorHAnsi"/>
          <w:bCs/>
          <w:sz w:val="22"/>
          <w:szCs w:val="22"/>
        </w:rPr>
        <w:t>,</w:t>
      </w:r>
      <w:r w:rsidR="000163E4" w:rsidRPr="00E613E8">
        <w:rPr>
          <w:rFonts w:asciiTheme="majorHAnsi" w:hAnsiTheme="majorHAnsi" w:cstheme="majorHAnsi"/>
          <w:sz w:val="22"/>
          <w:szCs w:val="22"/>
        </w:rPr>
        <w:t xml:space="preserve"> </w:t>
      </w:r>
      <w:bookmarkStart w:id="15" w:name="_Hlk483395226"/>
      <w:r w:rsidR="000163E4" w:rsidRPr="00E613E8">
        <w:rPr>
          <w:rFonts w:asciiTheme="majorHAnsi" w:hAnsiTheme="majorHAnsi" w:cstheme="majorHAnsi"/>
          <w:sz w:val="22"/>
          <w:szCs w:val="22"/>
        </w:rPr>
        <w:t>w świetle obowiązujących przepisów prawa</w:t>
      </w:r>
      <w:r w:rsidR="00520BFF">
        <w:rPr>
          <w:rFonts w:asciiTheme="majorHAnsi" w:hAnsiTheme="majorHAnsi" w:cstheme="majorHAnsi"/>
          <w:sz w:val="22"/>
          <w:szCs w:val="22"/>
        </w:rPr>
        <w:t xml:space="preserve"> </w:t>
      </w:r>
      <w:r w:rsidR="000163E4" w:rsidRPr="00E613E8">
        <w:rPr>
          <w:rFonts w:asciiTheme="majorHAnsi" w:hAnsiTheme="majorHAnsi" w:cstheme="majorHAnsi"/>
          <w:sz w:val="22"/>
          <w:szCs w:val="22"/>
        </w:rPr>
        <w:t>/</w:t>
      </w:r>
      <w:r w:rsidR="00520BFF">
        <w:rPr>
          <w:rFonts w:asciiTheme="majorHAnsi" w:hAnsiTheme="majorHAnsi" w:cstheme="majorHAnsi"/>
          <w:sz w:val="22"/>
          <w:szCs w:val="22"/>
        </w:rPr>
        <w:t xml:space="preserve"> </w:t>
      </w:r>
      <w:r w:rsidR="000163E4" w:rsidRPr="00E613E8">
        <w:rPr>
          <w:rFonts w:asciiTheme="majorHAnsi" w:hAnsiTheme="majorHAnsi" w:cstheme="majorHAnsi"/>
          <w:sz w:val="22"/>
          <w:szCs w:val="22"/>
        </w:rPr>
        <w:t>norm</w:t>
      </w:r>
      <w:r w:rsidR="00520BFF">
        <w:rPr>
          <w:rFonts w:asciiTheme="majorHAnsi" w:hAnsiTheme="majorHAnsi" w:cstheme="majorHAnsi"/>
          <w:sz w:val="22"/>
          <w:szCs w:val="22"/>
        </w:rPr>
        <w:t xml:space="preserve"> </w:t>
      </w:r>
      <w:r w:rsidR="000163E4" w:rsidRPr="0068627A"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r w:rsidR="00520B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163E4" w:rsidRPr="0068627A">
        <w:rPr>
          <w:rFonts w:asciiTheme="majorHAnsi" w:hAnsiTheme="majorHAnsi" w:cstheme="majorHAnsi"/>
          <w:color w:val="000000" w:themeColor="text1"/>
          <w:sz w:val="22"/>
          <w:szCs w:val="22"/>
        </w:rPr>
        <w:t>wytycznych</w:t>
      </w:r>
      <w:r w:rsidR="00520B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163E4" w:rsidRPr="0068627A"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r w:rsidR="00520B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163E4" w:rsidRPr="0068627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zaleceń w zakresie </w:t>
      </w:r>
      <w:bookmarkEnd w:id="15"/>
      <w:r w:rsidR="00CA2B84" w:rsidRPr="0068627A">
        <w:rPr>
          <w:rFonts w:asciiTheme="majorHAnsi" w:hAnsiTheme="majorHAnsi" w:cstheme="majorHAnsi"/>
          <w:color w:val="000000" w:themeColor="text1"/>
          <w:sz w:val="22"/>
          <w:szCs w:val="22"/>
        </w:rPr>
        <w:t>produktów nawozowych UE</w:t>
      </w:r>
      <w:r w:rsidR="000163E4" w:rsidRPr="0068627A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E80BBF" w:rsidRPr="0068627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postanowień niniejszej umowy </w:t>
      </w:r>
      <w:r w:rsidRPr="0068627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mającego</w:t>
      </w:r>
      <w:r w:rsidR="00E80BBF" w:rsidRPr="0068627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wpływ na realizację jej przedmiotu</w:t>
      </w:r>
      <w:r w:rsidR="006E0949" w:rsidRPr="0068627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bookmarkEnd w:id="14"/>
    <w:p w14:paraId="3B6C460B" w14:textId="0872F924" w:rsidR="00C5794C" w:rsidRPr="00C5794C" w:rsidRDefault="00C5794C" w:rsidP="00805780">
      <w:pPr>
        <w:widowControl w:val="0"/>
        <w:numPr>
          <w:ilvl w:val="1"/>
          <w:numId w:val="17"/>
        </w:numPr>
        <w:spacing w:beforeLines="20" w:before="48" w:afterLines="20" w:after="48"/>
        <w:ind w:left="1134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579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Wznowienie </w:t>
      </w:r>
      <w:r w:rsidR="0068627A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68627A" w:rsidRPr="00C5794C">
        <w:rPr>
          <w:rFonts w:asciiTheme="majorHAnsi" w:hAnsiTheme="majorHAnsi" w:cstheme="majorHAnsi"/>
          <w:color w:val="000000" w:themeColor="text1"/>
          <w:sz w:val="22"/>
          <w:szCs w:val="22"/>
        </w:rPr>
        <w:t>ertyfika</w:t>
      </w:r>
      <w:r w:rsidR="0068627A">
        <w:rPr>
          <w:rFonts w:asciiTheme="majorHAnsi" w:hAnsiTheme="majorHAnsi" w:cstheme="majorHAnsi"/>
          <w:color w:val="000000" w:themeColor="text1"/>
          <w:sz w:val="22"/>
          <w:szCs w:val="22"/>
        </w:rPr>
        <w:t>tu:</w:t>
      </w:r>
    </w:p>
    <w:p w14:paraId="22A35A54" w14:textId="77777777" w:rsidR="0068627A" w:rsidRDefault="00F7342C" w:rsidP="0068627A">
      <w:pPr>
        <w:pStyle w:val="Akapitzlist"/>
        <w:widowControl w:val="0"/>
        <w:numPr>
          <w:ilvl w:val="0"/>
          <w:numId w:val="29"/>
        </w:numPr>
        <w:spacing w:beforeLines="20" w:before="48" w:afterLines="20" w:after="48"/>
        <w:ind w:left="1418" w:hanging="284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C5794C" w:rsidRPr="00D34897">
        <w:rPr>
          <w:rFonts w:asciiTheme="majorHAnsi" w:hAnsiTheme="majorHAnsi" w:cstheme="majorHAnsi"/>
          <w:color w:val="000000" w:themeColor="text1"/>
          <w:sz w:val="22"/>
          <w:szCs w:val="22"/>
        </w:rPr>
        <w:t>znowienie certyfikacji następuje w przypadku spełnienia przez Producenta warunków zawieszonej certyfikacji</w:t>
      </w:r>
      <w:r w:rsidR="0068627A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0F7EA11E" w14:textId="0EBD50B7" w:rsidR="00C5794C" w:rsidRPr="00FC112D" w:rsidRDefault="00C5794C" w:rsidP="00FC112D">
      <w:pPr>
        <w:pStyle w:val="Akapitzlist"/>
        <w:widowControl w:val="0"/>
        <w:numPr>
          <w:ilvl w:val="0"/>
          <w:numId w:val="29"/>
        </w:numPr>
        <w:spacing w:beforeLines="20" w:before="48" w:afterLines="20" w:after="48"/>
        <w:ind w:left="1418" w:hanging="284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>PCBC powiadomi pisemnie Producenta o wznowieniu certyfikacji.</w:t>
      </w:r>
    </w:p>
    <w:p w14:paraId="26EAB7B5" w14:textId="5B694CFB" w:rsidR="00792332" w:rsidRPr="00CE2931" w:rsidRDefault="00ED2902" w:rsidP="0068627A">
      <w:pPr>
        <w:widowControl w:val="0"/>
        <w:numPr>
          <w:ilvl w:val="1"/>
          <w:numId w:val="17"/>
        </w:numPr>
        <w:tabs>
          <w:tab w:val="left" w:pos="1134"/>
        </w:tabs>
        <w:spacing w:beforeLines="20" w:before="48" w:afterLines="20" w:after="48"/>
        <w:ind w:left="426" w:firstLine="14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Cofnięcie </w:t>
      </w:r>
      <w:r w:rsidR="0090413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ertyfikatu następuje </w:t>
      </w:r>
      <w:r w:rsidR="00FE1F2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 szczególności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:</w:t>
      </w:r>
      <w:r w:rsidR="00EF4752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</w:p>
    <w:p w14:paraId="315A9EBB" w14:textId="5FA8AFD3" w:rsidR="00792332" w:rsidRPr="00CE2931" w:rsidRDefault="00EF4752" w:rsidP="0068627A">
      <w:pPr>
        <w:pStyle w:val="Akapitzlist"/>
        <w:widowControl w:val="0"/>
        <w:numPr>
          <w:ilvl w:val="0"/>
          <w:numId w:val="21"/>
        </w:numPr>
        <w:spacing w:beforeLines="20" w:before="48" w:afterLines="20" w:after="48"/>
        <w:ind w:left="709" w:firstLine="425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na wniosek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</w:t>
      </w:r>
      <w:r w:rsidR="00F451F3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,</w:t>
      </w:r>
    </w:p>
    <w:p w14:paraId="109EE404" w14:textId="59CCA876" w:rsidR="00792332" w:rsidRPr="00CE2931" w:rsidRDefault="00EF4752" w:rsidP="0068627A">
      <w:pPr>
        <w:pStyle w:val="Akapitzlist"/>
        <w:widowControl w:val="0"/>
        <w:numPr>
          <w:ilvl w:val="0"/>
          <w:numId w:val="21"/>
        </w:numPr>
        <w:spacing w:beforeLines="20" w:before="48" w:afterLines="20" w:after="48"/>
        <w:ind w:left="1418" w:hanging="284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przypadku niespełnienia przez </w:t>
      </w:r>
      <w:r w:rsidR="00A477D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Producenta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warunków przywrócenia zawieszone</w:t>
      </w:r>
      <w:r w:rsidR="00A477D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j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certyfika</w:t>
      </w:r>
      <w:r w:rsidR="00A477D5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cji</w:t>
      </w:r>
      <w:r w:rsidR="00B76A5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tj. w</w:t>
      </w:r>
      <w:r w:rsidR="00B76A51" w:rsidRPr="00B76A5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przypadku niepodjęcia środków naprawczych lub jeżeli środki te nie przynoszą wymaganych skutków</w:t>
      </w:r>
      <w:r w:rsidR="00F451F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6529481F" w14:textId="77777777" w:rsidR="00792332" w:rsidRPr="00CE2931" w:rsidRDefault="00A7449F" w:rsidP="0068627A">
      <w:pPr>
        <w:pStyle w:val="Akapitzlist"/>
        <w:widowControl w:val="0"/>
        <w:numPr>
          <w:ilvl w:val="0"/>
          <w:numId w:val="21"/>
        </w:numPr>
        <w:spacing w:beforeLines="20" w:before="48" w:afterLines="20" w:after="48"/>
        <w:ind w:left="709" w:firstLine="425"/>
        <w:contextualSpacing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 przypadku</w:t>
      </w:r>
      <w:r w:rsidR="00EF475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rozwiązania umowy. </w:t>
      </w:r>
    </w:p>
    <w:p w14:paraId="427DE2AA" w14:textId="0FCE4504" w:rsidR="0068627A" w:rsidRPr="00156965" w:rsidRDefault="0068627A" w:rsidP="00156965">
      <w:pPr>
        <w:widowControl w:val="0"/>
        <w:spacing w:beforeLines="20" w:before="48" w:afterLines="20" w:after="48"/>
        <w:ind w:left="113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156965">
        <w:rPr>
          <w:rFonts w:asciiTheme="majorHAnsi" w:hAnsiTheme="majorHAnsi" w:cstheme="minorHAnsi"/>
          <w:color w:val="000000"/>
          <w:sz w:val="22"/>
          <w:szCs w:val="22"/>
        </w:rPr>
        <w:t xml:space="preserve">Producent, niezwłocznie </w:t>
      </w:r>
      <w:r w:rsidRPr="00156965">
        <w:rPr>
          <w:rFonts w:asciiTheme="majorHAnsi" w:hAnsiTheme="majorHAnsi" w:cstheme="minorHAnsi"/>
          <w:sz w:val="22"/>
          <w:szCs w:val="22"/>
        </w:rPr>
        <w:t xml:space="preserve">przekazuje PCBC oryginał i duplikaty Certyfikatu (jeśli były wydane w formie papierowej). </w:t>
      </w:r>
      <w:r w:rsidRPr="00156965">
        <w:rPr>
          <w:rFonts w:asciiTheme="majorHAnsi" w:hAnsiTheme="majorHAnsi" w:cstheme="minorHAnsi"/>
          <w:color w:val="000000"/>
          <w:sz w:val="22"/>
          <w:szCs w:val="22"/>
        </w:rPr>
        <w:t xml:space="preserve">Cofnięcie Certyfikatu oznacza zakaz znakowania danego Produktu nawozowego UE oznaczeniem CE licząc od daty </w:t>
      </w:r>
      <w:r w:rsidR="0013076D">
        <w:rPr>
          <w:rFonts w:asciiTheme="majorHAnsi" w:hAnsiTheme="majorHAnsi" w:cstheme="minorHAnsi"/>
          <w:color w:val="000000"/>
          <w:sz w:val="22"/>
          <w:szCs w:val="22"/>
        </w:rPr>
        <w:t>doręczeni</w:t>
      </w:r>
      <w:r w:rsidR="006C4727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156965">
        <w:rPr>
          <w:rFonts w:asciiTheme="majorHAnsi" w:hAnsiTheme="majorHAnsi" w:cstheme="minorHAnsi"/>
          <w:color w:val="000000"/>
          <w:sz w:val="22"/>
          <w:szCs w:val="22"/>
        </w:rPr>
        <w:t xml:space="preserve"> Producent</w:t>
      </w:r>
      <w:r w:rsidR="0013076D">
        <w:rPr>
          <w:rFonts w:asciiTheme="majorHAnsi" w:hAnsiTheme="majorHAnsi" w:cstheme="minorHAnsi"/>
          <w:color w:val="000000"/>
          <w:sz w:val="22"/>
          <w:szCs w:val="22"/>
        </w:rPr>
        <w:t>owi</w:t>
      </w:r>
      <w:r w:rsidRPr="00156965">
        <w:rPr>
          <w:rFonts w:asciiTheme="majorHAnsi" w:hAnsiTheme="majorHAnsi" w:cstheme="minorHAnsi"/>
          <w:color w:val="000000"/>
          <w:sz w:val="22"/>
          <w:szCs w:val="22"/>
        </w:rPr>
        <w:t xml:space="preserve"> decyzji o cofnięciu przez PCBC Certyfikatu.</w:t>
      </w:r>
    </w:p>
    <w:p w14:paraId="16DC76F0" w14:textId="44A4ED51" w:rsidR="00A6082A" w:rsidRPr="00156965" w:rsidRDefault="00A6082A" w:rsidP="00156965">
      <w:pPr>
        <w:pStyle w:val="Tekstpodstawowy"/>
        <w:widowControl w:val="0"/>
        <w:tabs>
          <w:tab w:val="left" w:pos="426"/>
          <w:tab w:val="left" w:pos="1134"/>
        </w:tabs>
        <w:spacing w:beforeLines="20" w:before="48" w:after="20"/>
        <w:ind w:left="567"/>
        <w:rPr>
          <w:rFonts w:asciiTheme="majorHAnsi" w:hAnsiTheme="majorHAnsi" w:cs="Calibri"/>
          <w:sz w:val="22"/>
          <w:szCs w:val="22"/>
        </w:rPr>
      </w:pPr>
      <w:r w:rsidRPr="00156965">
        <w:rPr>
          <w:rFonts w:asciiTheme="majorHAnsi" w:hAnsiTheme="majorHAnsi" w:cs="Calibri"/>
          <w:sz w:val="22"/>
          <w:szCs w:val="22"/>
        </w:rPr>
        <w:t>1.</w:t>
      </w:r>
      <w:r w:rsidR="00D34897" w:rsidRPr="00156965">
        <w:rPr>
          <w:rFonts w:asciiTheme="majorHAnsi" w:hAnsiTheme="majorHAnsi" w:cs="Calibri"/>
          <w:sz w:val="22"/>
          <w:szCs w:val="22"/>
        </w:rPr>
        <w:t>4</w:t>
      </w:r>
      <w:r w:rsidRPr="00156965">
        <w:rPr>
          <w:rFonts w:asciiTheme="majorHAnsi" w:hAnsiTheme="majorHAnsi" w:cs="Calibri"/>
          <w:sz w:val="22"/>
          <w:szCs w:val="22"/>
        </w:rPr>
        <w:tab/>
        <w:t>Ograniczenie zakresu certyfikacji następuje:</w:t>
      </w:r>
    </w:p>
    <w:p w14:paraId="22CB9E3F" w14:textId="77777777" w:rsidR="00A6082A" w:rsidRPr="00156965" w:rsidRDefault="00A6082A" w:rsidP="00156965">
      <w:pPr>
        <w:pStyle w:val="Akapitzlist"/>
        <w:widowControl w:val="0"/>
        <w:numPr>
          <w:ilvl w:val="0"/>
          <w:numId w:val="28"/>
        </w:numPr>
        <w:spacing w:beforeLines="20" w:before="48" w:afterLines="20" w:after="48"/>
        <w:ind w:left="709" w:firstLine="425"/>
        <w:contextualSpacing w:val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156965">
        <w:rPr>
          <w:rFonts w:asciiTheme="majorHAnsi" w:hAnsiTheme="majorHAnsi" w:cs="Calibri"/>
          <w:bCs/>
          <w:color w:val="000000"/>
          <w:sz w:val="22"/>
          <w:szCs w:val="22"/>
        </w:rPr>
        <w:t>na wniosek Producenta,</w:t>
      </w:r>
    </w:p>
    <w:p w14:paraId="78828E2E" w14:textId="47CA486B" w:rsidR="00A6082A" w:rsidRPr="008130DC" w:rsidRDefault="00A22C22" w:rsidP="00073098">
      <w:pPr>
        <w:pStyle w:val="Akapitzlist"/>
        <w:numPr>
          <w:ilvl w:val="0"/>
          <w:numId w:val="28"/>
        </w:numPr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30DC">
        <w:rPr>
          <w:rFonts w:asciiTheme="majorHAnsi" w:hAnsiTheme="majorHAnsi"/>
          <w:sz w:val="22"/>
          <w:szCs w:val="22"/>
        </w:rPr>
        <w:t>w przypadku niespełnienia przez Producenta wymagań potwierdzonych Certyfikatem.</w:t>
      </w:r>
    </w:p>
    <w:p w14:paraId="7666B957" w14:textId="54A7A676" w:rsidR="00A6082A" w:rsidRDefault="00A6082A" w:rsidP="00156965">
      <w:pPr>
        <w:pStyle w:val="Tekstpodstawowy"/>
        <w:widowControl w:val="0"/>
        <w:tabs>
          <w:tab w:val="left" w:pos="993"/>
        </w:tabs>
        <w:spacing w:beforeLines="20" w:before="48" w:after="20"/>
        <w:ind w:left="1134" w:hanging="141"/>
        <w:rPr>
          <w:rFonts w:ascii="Calibri" w:hAnsi="Calibri" w:cs="Calibri"/>
          <w:sz w:val="22"/>
          <w:szCs w:val="22"/>
        </w:rPr>
      </w:pPr>
      <w:r w:rsidRPr="00A6082A">
        <w:rPr>
          <w:rFonts w:ascii="Calibri" w:hAnsi="Calibri" w:cs="Calibri"/>
          <w:sz w:val="22"/>
          <w:szCs w:val="22"/>
        </w:rPr>
        <w:t>PCBC powiadomi pisemnie Producenta o ograniczeniu zakresu udzielonej certyfikacji.</w:t>
      </w:r>
    </w:p>
    <w:p w14:paraId="3D8A6357" w14:textId="5777C8C0" w:rsidR="006812B8" w:rsidRPr="00941800" w:rsidRDefault="00ED2902" w:rsidP="004F2A7C">
      <w:pPr>
        <w:widowControl w:val="0"/>
        <w:numPr>
          <w:ilvl w:val="0"/>
          <w:numId w:val="17"/>
        </w:numPr>
        <w:tabs>
          <w:tab w:val="left" w:pos="1134"/>
        </w:tabs>
        <w:spacing w:beforeLines="20" w:before="48" w:afterLines="20" w:after="48"/>
        <w:ind w:left="567" w:hanging="567"/>
        <w:jc w:val="both"/>
      </w:pP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PCBC zachowuje również prawo do upomnienia </w:t>
      </w:r>
      <w:r w:rsidR="00B6737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Producent</w:t>
      </w:r>
      <w:r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</w:t>
      </w:r>
      <w:r w:rsidR="00990512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w przypadkach nieprawidłowości mniejszej wagi (nieskutkującymi koniecznością zawieszenia</w:t>
      </w:r>
      <w:r w:rsidR="00EF123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,</w:t>
      </w:r>
      <w:r w:rsidR="0046634A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cofnięcia</w:t>
      </w:r>
      <w:r w:rsidR="00EF1234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lub ograniczenia</w:t>
      </w:r>
      <w:r w:rsidR="00990512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certyfikatu)</w:t>
      </w:r>
      <w:r w:rsidR="00810FEF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  <w:r w:rsidR="00990512" w:rsidRPr="00CE29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Kierując upomnienie PCBC określa obowiązek usunięcia nieprawidłowości w oznaczonym terminie.</w:t>
      </w:r>
    </w:p>
    <w:p w14:paraId="2CF6F10C" w14:textId="77777777" w:rsidR="00941800" w:rsidRPr="005413B9" w:rsidRDefault="00941800" w:rsidP="00941800">
      <w:pPr>
        <w:widowControl w:val="0"/>
        <w:spacing w:beforeLines="20" w:before="48" w:afterLines="20" w:after="48"/>
        <w:ind w:left="567"/>
        <w:jc w:val="both"/>
      </w:pPr>
    </w:p>
    <w:p w14:paraId="2B520F23" w14:textId="6665951B" w:rsidR="00156965" w:rsidRDefault="0046634A" w:rsidP="00454F09">
      <w:pPr>
        <w:pStyle w:val="Nagwek1"/>
        <w:keepNext w:val="0"/>
        <w:widowControl w:val="0"/>
        <w:spacing w:beforeLines="20" w:before="48" w:afterLines="20" w:after="48"/>
        <w:ind w:left="426" w:hanging="426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56965">
        <w:rPr>
          <w:rFonts w:asciiTheme="majorHAnsi" w:hAnsiTheme="majorHAnsi" w:cstheme="majorHAnsi"/>
          <w:color w:val="000000" w:themeColor="text1"/>
          <w:sz w:val="22"/>
          <w:szCs w:val="22"/>
        </w:rPr>
        <w:t>§ 9</w:t>
      </w:r>
      <w:r w:rsidR="00E95491" w:rsidRPr="0015696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655579" w:rsidRPr="001569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56965" w:rsidRPr="00156965">
        <w:rPr>
          <w:rFonts w:asciiTheme="majorHAnsi" w:hAnsiTheme="majorHAnsi" w:cstheme="majorHAnsi"/>
          <w:color w:val="000000" w:themeColor="text1"/>
          <w:sz w:val="22"/>
          <w:szCs w:val="22"/>
        </w:rPr>
        <w:t>Zawiadomienia</w:t>
      </w:r>
    </w:p>
    <w:p w14:paraId="432616F0" w14:textId="77777777" w:rsidR="00156965" w:rsidRPr="00156965" w:rsidRDefault="00156965" w:rsidP="00156965"/>
    <w:p w14:paraId="52034F69" w14:textId="271EF3F2" w:rsidR="00156965" w:rsidRPr="00156965" w:rsidRDefault="00156965" w:rsidP="00156965">
      <w:pPr>
        <w:keepNext/>
        <w:keepLines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rFonts w:asciiTheme="majorHAnsi" w:hAnsiTheme="majorHAnsi" w:cstheme="minorHAnsi"/>
          <w:sz w:val="22"/>
          <w:szCs w:val="22"/>
        </w:rPr>
      </w:pPr>
      <w:r w:rsidRPr="00156965">
        <w:rPr>
          <w:rStyle w:val="Brak"/>
          <w:rFonts w:asciiTheme="majorHAnsi" w:hAnsiTheme="majorHAnsi" w:cstheme="minorHAnsi"/>
          <w:sz w:val="22"/>
          <w:szCs w:val="22"/>
        </w:rPr>
        <w:t>W celu bieżącego wykonywania niniejszej umowy i nadzoru nad jej realizacją, do kontaktów między Stronami, a także wykonywania innych czynności wskazanych w niniejszej umowie. Strony wyznaczają i upoważniają swoich Koordynatorów:</w:t>
      </w:r>
    </w:p>
    <w:p w14:paraId="640A50ED" w14:textId="08F496C9" w:rsidR="00156965" w:rsidRPr="00156965" w:rsidRDefault="00156965" w:rsidP="00073098">
      <w:pPr>
        <w:pStyle w:val="Akapitzlist"/>
        <w:keepNext/>
        <w:keepLines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14"/>
        <w:contextualSpacing w:val="0"/>
        <w:jc w:val="both"/>
        <w:rPr>
          <w:rStyle w:val="Brak"/>
          <w:rFonts w:asciiTheme="majorHAnsi" w:hAnsiTheme="majorHAnsi" w:cstheme="minorHAnsi"/>
          <w:sz w:val="22"/>
          <w:szCs w:val="22"/>
        </w:rPr>
      </w:pPr>
      <w:r w:rsidRPr="00156965">
        <w:rPr>
          <w:rStyle w:val="Brak"/>
          <w:rFonts w:asciiTheme="majorHAnsi" w:hAnsiTheme="majorHAnsi" w:cstheme="minorHAnsi"/>
          <w:sz w:val="22"/>
          <w:szCs w:val="22"/>
        </w:rPr>
        <w:t>Koordynator ze strony PCBC:</w:t>
      </w:r>
    </w:p>
    <w:p w14:paraId="7ACF6F82" w14:textId="12208191" w:rsidR="00156965" w:rsidRPr="00156965" w:rsidRDefault="00CA0187" w:rsidP="00073098">
      <w:pPr>
        <w:pStyle w:val="Akapitzlist"/>
        <w:keepNext/>
        <w:ind w:left="1134" w:hanging="414"/>
        <w:jc w:val="both"/>
        <w:rPr>
          <w:rStyle w:val="Brak"/>
          <w:rFonts w:asciiTheme="majorHAnsi" w:hAnsiTheme="majorHAnsi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FORMTEXT </w:instrTex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 w:rsidR="00156965" w:rsidRPr="00156965">
        <w:rPr>
          <w:rStyle w:val="Brak"/>
          <w:rFonts w:asciiTheme="majorHAnsi" w:hAnsiTheme="majorHAnsi"/>
          <w:sz w:val="22"/>
          <w:szCs w:val="22"/>
        </w:rPr>
        <w:t xml:space="preserve"> </w:t>
      </w:r>
      <w:r w:rsidR="00156965" w:rsidRPr="00156965">
        <w:rPr>
          <w:rStyle w:val="Brak"/>
          <w:rFonts w:asciiTheme="majorHAnsi" w:hAnsiTheme="majorHAnsi"/>
          <w:sz w:val="22"/>
          <w:szCs w:val="22"/>
        </w:rPr>
        <w:tab/>
      </w:r>
      <w:r w:rsidR="00156965" w:rsidRPr="00156965">
        <w:rPr>
          <w:rStyle w:val="Brak"/>
          <w:rFonts w:asciiTheme="majorHAnsi" w:hAnsiTheme="majorHAnsi"/>
          <w:sz w:val="22"/>
          <w:szCs w:val="22"/>
        </w:rPr>
        <w:tab/>
        <w:t xml:space="preserve">e-mail: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FORMTEXT </w:instrTex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56965" w:rsidRPr="00156965">
        <w:rPr>
          <w:rStyle w:val="Brak"/>
          <w:rFonts w:asciiTheme="majorHAnsi" w:hAnsiTheme="majorHAnsi"/>
          <w:sz w:val="22"/>
          <w:szCs w:val="22"/>
        </w:rPr>
        <w:tab/>
        <w:t>tel.: +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FORMTEXT </w:instrTex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</w:p>
    <w:p w14:paraId="0860CB48" w14:textId="28E3C942" w:rsidR="00156965" w:rsidRPr="00156965" w:rsidRDefault="00156965" w:rsidP="00073098">
      <w:pPr>
        <w:pStyle w:val="Akapitzlist"/>
        <w:keepNext/>
        <w:keepLines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14"/>
        <w:contextualSpacing w:val="0"/>
        <w:jc w:val="both"/>
        <w:rPr>
          <w:rStyle w:val="Brak"/>
          <w:rFonts w:asciiTheme="majorHAnsi" w:hAnsiTheme="majorHAnsi" w:cstheme="minorHAnsi"/>
          <w:sz w:val="22"/>
          <w:szCs w:val="22"/>
        </w:rPr>
      </w:pPr>
      <w:r w:rsidRPr="00156965">
        <w:rPr>
          <w:rStyle w:val="Brak"/>
          <w:rFonts w:asciiTheme="majorHAnsi" w:hAnsiTheme="majorHAnsi" w:cstheme="minorHAnsi"/>
          <w:sz w:val="22"/>
          <w:szCs w:val="22"/>
        </w:rPr>
        <w:t>Koordynator ze strony Producenta:</w:t>
      </w:r>
    </w:p>
    <w:p w14:paraId="28614B43" w14:textId="62B1B69D" w:rsidR="00156965" w:rsidRPr="00156965" w:rsidRDefault="00CA0187" w:rsidP="00073098">
      <w:pPr>
        <w:keepNext/>
        <w:ind w:left="1134" w:hanging="414"/>
        <w:jc w:val="both"/>
        <w:rPr>
          <w:rStyle w:val="Brak"/>
          <w:rFonts w:asciiTheme="majorHAnsi" w:hAnsiTheme="majorHAnsi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FORMTEXT </w:instrTex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 w:rsidR="00156965" w:rsidRPr="00156965">
        <w:rPr>
          <w:rStyle w:val="Brak"/>
          <w:rFonts w:asciiTheme="majorHAnsi" w:hAnsiTheme="majorHAnsi"/>
          <w:sz w:val="22"/>
          <w:szCs w:val="22"/>
        </w:rPr>
        <w:t xml:space="preserve"> </w:t>
      </w:r>
      <w:r w:rsidR="00156965" w:rsidRPr="00156965">
        <w:rPr>
          <w:rStyle w:val="Brak"/>
          <w:rFonts w:asciiTheme="majorHAnsi" w:hAnsiTheme="majorHAnsi"/>
          <w:sz w:val="22"/>
          <w:szCs w:val="22"/>
        </w:rPr>
        <w:tab/>
      </w:r>
      <w:r w:rsidR="00156965" w:rsidRPr="00156965">
        <w:rPr>
          <w:rStyle w:val="Brak"/>
          <w:rFonts w:asciiTheme="majorHAnsi" w:hAnsiTheme="majorHAnsi"/>
          <w:sz w:val="22"/>
          <w:szCs w:val="22"/>
        </w:rPr>
        <w:tab/>
        <w:t xml:space="preserve">e-mail: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FORMTEXT </w:instrTex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 w:rsidR="00156965" w:rsidRPr="00156965">
        <w:rPr>
          <w:rStyle w:val="Brak"/>
          <w:rFonts w:asciiTheme="majorHAnsi" w:hAnsiTheme="majorHAnsi"/>
          <w:sz w:val="22"/>
          <w:szCs w:val="22"/>
        </w:rPr>
        <w:t xml:space="preserve"> </w:t>
      </w:r>
      <w:r w:rsidR="00156965" w:rsidRPr="00156965">
        <w:rPr>
          <w:rStyle w:val="Brak"/>
          <w:rFonts w:asciiTheme="majorHAnsi" w:hAnsiTheme="majorHAnsi"/>
          <w:sz w:val="22"/>
          <w:szCs w:val="22"/>
        </w:rPr>
        <w:tab/>
        <w:t>tel.: +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FORMTEXT </w:instrTex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 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</w:p>
    <w:p w14:paraId="4D484D5B" w14:textId="7EC70C3F" w:rsidR="00156965" w:rsidRPr="00156965" w:rsidRDefault="00156965" w:rsidP="00156965">
      <w:pPr>
        <w:pStyle w:val="Akapitzlist"/>
        <w:widowControl w:val="0"/>
        <w:numPr>
          <w:ilvl w:val="0"/>
          <w:numId w:val="39"/>
        </w:numPr>
        <w:ind w:left="709" w:hanging="709"/>
        <w:jc w:val="both"/>
        <w:rPr>
          <w:rStyle w:val="Brak"/>
          <w:rFonts w:asciiTheme="majorHAnsi" w:hAnsiTheme="majorHAnsi" w:cstheme="minorHAnsi"/>
          <w:sz w:val="22"/>
          <w:szCs w:val="22"/>
        </w:rPr>
      </w:pPr>
      <w:r w:rsidRPr="00156965">
        <w:rPr>
          <w:rStyle w:val="Brak"/>
          <w:rFonts w:asciiTheme="majorHAnsi" w:hAnsiTheme="majorHAnsi" w:cstheme="minorHAnsi"/>
          <w:sz w:val="22"/>
          <w:szCs w:val="22"/>
        </w:rPr>
        <w:t>Każda ze Stron może dokonać zmiany swego Koordynatora lub danych dotyczących jej Koordynatora w drodze zawiadomienia drugiej Strony z zachowaniem formy pisemnej. Zmiana taka nie stanowi zmiany niniejszej umowy. Zmiana Koordynatora wywołuje skutki z chwilą doręczenia drugiej Stronie informacji o zmianie osobowej na stanowisku Koordynatora u Strony lub zmianie danych dotyczących Koordynatora.</w:t>
      </w:r>
    </w:p>
    <w:p w14:paraId="69CC8076" w14:textId="794FCA85" w:rsidR="00156965" w:rsidRPr="00D737AC" w:rsidRDefault="00156965" w:rsidP="00156965">
      <w:pPr>
        <w:pStyle w:val="Akapitzlist"/>
        <w:widowControl w:val="0"/>
        <w:numPr>
          <w:ilvl w:val="0"/>
          <w:numId w:val="39"/>
        </w:numPr>
        <w:ind w:left="709" w:hanging="709"/>
        <w:jc w:val="both"/>
        <w:rPr>
          <w:rFonts w:asciiTheme="majorHAnsi" w:hAnsiTheme="majorHAnsi" w:cstheme="minorHAnsi"/>
          <w:sz w:val="22"/>
          <w:szCs w:val="22"/>
        </w:rPr>
      </w:pPr>
      <w:r w:rsidRPr="00156965">
        <w:rPr>
          <w:rFonts w:asciiTheme="majorHAnsi" w:hAnsiTheme="majorHAnsi" w:cs="Arial"/>
          <w:sz w:val="22"/>
          <w:szCs w:val="22"/>
        </w:rPr>
        <w:t xml:space="preserve">Z wyłączeniem tych czynności, dla których w niniejszej umowie wyraźnie wskazano, iż mają być one dokonane na piśmie (na piśmie, pisemnie, w formie pisemnej lub wymagają podpisu Stron) lub, dla których forma pisemna wymagana jest przepisami prawa, wszelka korespondencja Stron dokonywana będzie za pośrednictwem </w:t>
      </w:r>
      <w:r w:rsidRPr="00D737AC">
        <w:rPr>
          <w:rFonts w:asciiTheme="majorHAnsi" w:hAnsiTheme="majorHAnsi" w:cs="Arial"/>
          <w:sz w:val="22"/>
          <w:szCs w:val="22"/>
        </w:rPr>
        <w:t>poczty elektronicznej kierowanej na adresy i numery osób wskazanych w ust. 1 (z zastrzeżeniem treści ust. 2)</w:t>
      </w:r>
      <w:r w:rsidR="00AE3414" w:rsidRPr="00D737AC">
        <w:rPr>
          <w:rFonts w:asciiTheme="majorHAnsi" w:hAnsiTheme="majorHAnsi" w:cs="Arial"/>
          <w:sz w:val="22"/>
          <w:szCs w:val="22"/>
        </w:rPr>
        <w:t xml:space="preserve"> – chyba, że w niniejszej umowie wyraźnie wskazano, że dla czynności dokonanej na piśmie dopuszczoną formą doręczenia jest korespondencja e-mail</w:t>
      </w:r>
      <w:r w:rsidRPr="00D737AC">
        <w:rPr>
          <w:rFonts w:asciiTheme="majorHAnsi" w:hAnsiTheme="majorHAnsi" w:cs="Arial"/>
          <w:sz w:val="22"/>
          <w:szCs w:val="22"/>
        </w:rPr>
        <w:t>.</w:t>
      </w:r>
    </w:p>
    <w:p w14:paraId="656917FD" w14:textId="5BE44940" w:rsidR="00156965" w:rsidRPr="00156965" w:rsidRDefault="00156965" w:rsidP="00156965">
      <w:pPr>
        <w:pStyle w:val="Akapitzlist"/>
        <w:widowControl w:val="0"/>
        <w:numPr>
          <w:ilvl w:val="0"/>
          <w:numId w:val="39"/>
        </w:numPr>
        <w:ind w:left="709" w:hanging="709"/>
        <w:jc w:val="both"/>
        <w:rPr>
          <w:rFonts w:asciiTheme="majorHAnsi" w:hAnsiTheme="majorHAnsi" w:cstheme="minorHAnsi"/>
          <w:sz w:val="22"/>
          <w:szCs w:val="22"/>
        </w:rPr>
      </w:pPr>
      <w:r w:rsidRPr="00156965">
        <w:rPr>
          <w:rFonts w:asciiTheme="majorHAnsi" w:hAnsiTheme="majorHAnsi" w:cs="Arial"/>
          <w:sz w:val="22"/>
          <w:szCs w:val="22"/>
        </w:rPr>
        <w:lastRenderedPageBreak/>
        <w:t xml:space="preserve">W zastrzeżeniem treści ust. 3 Strony ustalają, że podstawowym środkiem wykorzystywanym do bieżącej komunikacji miedzy Stronami będzie poczta elektroniczna. W przypadku doręczeń dokonywanych za pośrednictwem poczty elektronicznej, dokument uznaje się za doręczony </w:t>
      </w:r>
      <w:r w:rsidR="004F019A">
        <w:rPr>
          <w:rFonts w:asciiTheme="majorHAnsi" w:hAnsiTheme="majorHAnsi" w:cs="Arial"/>
          <w:sz w:val="22"/>
          <w:szCs w:val="22"/>
        </w:rPr>
        <w:br/>
      </w:r>
      <w:r w:rsidRPr="00156965">
        <w:rPr>
          <w:rFonts w:asciiTheme="majorHAnsi" w:hAnsiTheme="majorHAnsi" w:cs="Arial"/>
          <w:sz w:val="22"/>
          <w:szCs w:val="22"/>
        </w:rPr>
        <w:t>w chwili, gdy zostanie on wprowadzony do sieci w taki sposób, że druga Strona mogła zapoznać się z jego treścią.</w:t>
      </w:r>
    </w:p>
    <w:p w14:paraId="52559928" w14:textId="77777777" w:rsidR="004F019A" w:rsidRPr="004F019A" w:rsidRDefault="00156965" w:rsidP="00156965">
      <w:pPr>
        <w:pStyle w:val="Akapitzlist"/>
        <w:widowControl w:val="0"/>
        <w:numPr>
          <w:ilvl w:val="0"/>
          <w:numId w:val="39"/>
        </w:numPr>
        <w:ind w:left="709" w:hanging="709"/>
        <w:jc w:val="both"/>
        <w:rPr>
          <w:rFonts w:asciiTheme="majorHAnsi" w:hAnsiTheme="majorHAnsi" w:cstheme="minorHAnsi"/>
          <w:sz w:val="22"/>
          <w:szCs w:val="22"/>
        </w:rPr>
      </w:pPr>
      <w:r w:rsidRPr="00156965">
        <w:rPr>
          <w:rFonts w:asciiTheme="majorHAnsi" w:hAnsiTheme="majorHAnsi" w:cs="Arial"/>
          <w:sz w:val="22"/>
          <w:szCs w:val="22"/>
        </w:rPr>
        <w:t xml:space="preserve">Zawiadomienia dokonywane na piśmie będą doręczane listem poleconym lub kurierem, za potwierdzeniem odbioru. Zawiadomienie dokonywane na piśmie uważa się za doręczone: </w:t>
      </w:r>
    </w:p>
    <w:p w14:paraId="4CE8A994" w14:textId="77777777" w:rsidR="004F019A" w:rsidRPr="004F019A" w:rsidRDefault="00156965" w:rsidP="004F019A">
      <w:pPr>
        <w:pStyle w:val="Akapitzlist"/>
        <w:widowControl w:val="0"/>
        <w:numPr>
          <w:ilvl w:val="0"/>
          <w:numId w:val="5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156965">
        <w:rPr>
          <w:rFonts w:asciiTheme="majorHAnsi" w:hAnsiTheme="majorHAnsi" w:cs="Arial"/>
          <w:sz w:val="22"/>
          <w:szCs w:val="22"/>
        </w:rPr>
        <w:t xml:space="preserve">w przypadku listu poleconego z chwilą odbioru listu poleconego albo upływem terminu odbioru tego listu, a </w:t>
      </w:r>
    </w:p>
    <w:p w14:paraId="2BCB64B5" w14:textId="77777777" w:rsidR="004F019A" w:rsidRPr="004F019A" w:rsidRDefault="00156965" w:rsidP="004F019A">
      <w:pPr>
        <w:pStyle w:val="Akapitzlist"/>
        <w:widowControl w:val="0"/>
        <w:numPr>
          <w:ilvl w:val="0"/>
          <w:numId w:val="5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156965">
        <w:rPr>
          <w:rFonts w:asciiTheme="majorHAnsi" w:hAnsiTheme="majorHAnsi" w:cs="Arial"/>
          <w:sz w:val="22"/>
          <w:szCs w:val="22"/>
        </w:rPr>
        <w:t xml:space="preserve">w przypadku doręczenia za pośrednictwem kuriera: z chwilą doręczenia Stronie zawiadamiającej potwierdzenia odbioru albo potwierdzenia odmowy odbioru (bez względu na przyczynę). </w:t>
      </w:r>
    </w:p>
    <w:p w14:paraId="0BCA3F0C" w14:textId="1DE315E3" w:rsidR="00156965" w:rsidRPr="004F019A" w:rsidRDefault="00156965" w:rsidP="004F019A">
      <w:pPr>
        <w:widowControl w:val="0"/>
        <w:ind w:left="709"/>
        <w:jc w:val="both"/>
        <w:rPr>
          <w:rFonts w:asciiTheme="majorHAnsi" w:hAnsiTheme="majorHAnsi" w:cstheme="minorHAnsi"/>
          <w:sz w:val="22"/>
          <w:szCs w:val="22"/>
        </w:rPr>
      </w:pPr>
      <w:r w:rsidRPr="004F019A">
        <w:rPr>
          <w:rFonts w:asciiTheme="majorHAnsi" w:hAnsiTheme="majorHAnsi" w:cs="Arial"/>
          <w:sz w:val="22"/>
          <w:szCs w:val="22"/>
        </w:rPr>
        <w:t xml:space="preserve">W przypadku konieczności dokonania czynności w formie pisemnej, jak też dla celów doręczenia faktury, korespondencja kierowana będzie na adresy Stron wskazane w komparycji niniejszej umowy. </w:t>
      </w:r>
    </w:p>
    <w:p w14:paraId="6DBEF67F" w14:textId="77777777" w:rsidR="00156965" w:rsidRPr="00FC112D" w:rsidRDefault="00156965" w:rsidP="00FC112D">
      <w:pPr>
        <w:rPr>
          <w:rFonts w:asciiTheme="majorHAnsi" w:hAnsiTheme="majorHAnsi"/>
          <w:sz w:val="22"/>
          <w:szCs w:val="22"/>
        </w:rPr>
      </w:pPr>
    </w:p>
    <w:p w14:paraId="6A21941E" w14:textId="140A1F0D" w:rsidR="00156965" w:rsidRPr="00156965" w:rsidRDefault="00156965" w:rsidP="00454F09">
      <w:pPr>
        <w:pStyle w:val="Nagwek1"/>
        <w:keepNext w:val="0"/>
        <w:widowControl w:val="0"/>
        <w:spacing w:beforeLines="20" w:before="48" w:afterLines="20" w:after="48"/>
        <w:ind w:left="426" w:hanging="426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56965">
        <w:rPr>
          <w:rFonts w:asciiTheme="majorHAnsi" w:hAnsiTheme="majorHAnsi" w:cstheme="majorHAnsi"/>
          <w:color w:val="000000" w:themeColor="text1"/>
          <w:sz w:val="22"/>
          <w:szCs w:val="22"/>
        </w:rPr>
        <w:t>§10 Dane osobowe</w:t>
      </w:r>
      <w:r w:rsidR="0081007C">
        <w:rPr>
          <w:rFonts w:asciiTheme="majorHAnsi" w:hAnsiTheme="majorHAnsi" w:cstheme="majorHAnsi"/>
          <w:color w:val="000000" w:themeColor="text1"/>
          <w:sz w:val="22"/>
          <w:szCs w:val="22"/>
        </w:rPr>
        <w:t>, poufność</w:t>
      </w:r>
    </w:p>
    <w:p w14:paraId="34A4CC79" w14:textId="77777777" w:rsidR="00156965" w:rsidRPr="00FC112D" w:rsidRDefault="00156965" w:rsidP="00156965">
      <w:pPr>
        <w:pStyle w:val="Akapitzlist"/>
        <w:widowControl w:val="0"/>
        <w:spacing w:beforeLines="20" w:before="48"/>
        <w:ind w:left="284"/>
        <w:jc w:val="center"/>
        <w:outlineLvl w:val="0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31450E0E" w14:textId="32F84101" w:rsidR="00156965" w:rsidRDefault="008D0380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Style w:val="Brak"/>
          <w:rFonts w:asciiTheme="majorHAnsi" w:hAnsiTheme="majorHAnsi" w:cstheme="minorHAnsi"/>
          <w:sz w:val="22"/>
          <w:szCs w:val="22"/>
        </w:rPr>
      </w:pPr>
      <w:r>
        <w:rPr>
          <w:rStyle w:val="Brak"/>
          <w:rFonts w:asciiTheme="majorHAnsi" w:hAnsiTheme="majorHAnsi" w:cstheme="minorHAnsi"/>
          <w:sz w:val="22"/>
          <w:szCs w:val="22"/>
        </w:rPr>
        <w:t>Strony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 xml:space="preserve"> zobowiązuj</w:t>
      </w:r>
      <w:r>
        <w:rPr>
          <w:rStyle w:val="Brak"/>
          <w:rFonts w:asciiTheme="majorHAnsi" w:hAnsiTheme="majorHAnsi" w:cstheme="minorHAnsi"/>
          <w:sz w:val="22"/>
          <w:szCs w:val="22"/>
        </w:rPr>
        <w:t>ą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 xml:space="preserve"> się przetwarzać </w:t>
      </w:r>
      <w:r>
        <w:rPr>
          <w:rStyle w:val="Brak"/>
          <w:rFonts w:asciiTheme="majorHAnsi" w:hAnsiTheme="majorHAnsi" w:cstheme="minorHAnsi"/>
          <w:sz w:val="22"/>
          <w:szCs w:val="22"/>
        </w:rPr>
        <w:t xml:space="preserve">dane osobowe 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>zgodnie z obowiązującymi przepisami</w:t>
      </w:r>
      <w:r>
        <w:rPr>
          <w:rStyle w:val="Brak"/>
          <w:rFonts w:asciiTheme="majorHAnsi" w:hAnsiTheme="majorHAnsi" w:cstheme="minorHAnsi"/>
          <w:sz w:val="22"/>
          <w:szCs w:val="22"/>
        </w:rPr>
        <w:t xml:space="preserve"> prawa, </w:t>
      </w:r>
      <w:r w:rsidR="005B6874">
        <w:rPr>
          <w:rStyle w:val="Brak"/>
          <w:rFonts w:asciiTheme="majorHAnsi" w:hAnsiTheme="majorHAnsi" w:cstheme="minorHAnsi"/>
          <w:sz w:val="22"/>
          <w:szCs w:val="22"/>
        </w:rPr>
        <w:br/>
      </w:r>
      <w:r>
        <w:rPr>
          <w:rStyle w:val="Brak"/>
          <w:rFonts w:asciiTheme="majorHAnsi" w:hAnsiTheme="majorHAnsi" w:cstheme="minorHAnsi"/>
          <w:sz w:val="22"/>
          <w:szCs w:val="22"/>
        </w:rPr>
        <w:t xml:space="preserve">w tym RODO (obejmujące: 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 xml:space="preserve">dane osobowe udostępnione przez drugą Stronę w </w:t>
      </w:r>
      <w:r>
        <w:rPr>
          <w:rStyle w:val="Brak"/>
          <w:rFonts w:asciiTheme="majorHAnsi" w:hAnsiTheme="majorHAnsi" w:cstheme="minorHAnsi"/>
          <w:sz w:val="22"/>
          <w:szCs w:val="22"/>
        </w:rPr>
        <w:t xml:space="preserve">celu i w 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 xml:space="preserve">wyniku zawarcia i wykonywania </w:t>
      </w:r>
      <w:r w:rsidR="00156965">
        <w:rPr>
          <w:rStyle w:val="Brak"/>
          <w:rFonts w:asciiTheme="majorHAnsi" w:hAnsiTheme="majorHAnsi" w:cstheme="minorHAnsi"/>
          <w:sz w:val="22"/>
          <w:szCs w:val="22"/>
        </w:rPr>
        <w:t>niniejszej u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 xml:space="preserve">mowy, w tym dotyczące osób </w:t>
      </w:r>
      <w:r>
        <w:rPr>
          <w:rStyle w:val="Brak"/>
          <w:rFonts w:asciiTheme="majorHAnsi" w:hAnsiTheme="majorHAnsi" w:cstheme="minorHAnsi"/>
          <w:sz w:val="22"/>
          <w:szCs w:val="22"/>
        </w:rPr>
        <w:t>reprezentujących lub będących Stroną niniejszej umowy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>, współpracowników, pracowników, podwykonawców, pracowników oraz współpracowników podwykonawców, a także innych osób, którymi Stron</w:t>
      </w:r>
      <w:r>
        <w:rPr>
          <w:rStyle w:val="Brak"/>
          <w:rFonts w:asciiTheme="majorHAnsi" w:hAnsiTheme="majorHAnsi" w:cstheme="minorHAnsi"/>
          <w:sz w:val="22"/>
          <w:szCs w:val="22"/>
        </w:rPr>
        <w:t>a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 xml:space="preserve"> </w:t>
      </w:r>
      <w:r w:rsidR="00156965">
        <w:rPr>
          <w:rStyle w:val="Brak"/>
          <w:rFonts w:asciiTheme="majorHAnsi" w:hAnsiTheme="majorHAnsi" w:cstheme="minorHAnsi"/>
          <w:sz w:val="22"/>
          <w:szCs w:val="22"/>
        </w:rPr>
        <w:t>niniejszej u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>mowy posługuj</w:t>
      </w:r>
      <w:r>
        <w:rPr>
          <w:rStyle w:val="Brak"/>
          <w:rFonts w:asciiTheme="majorHAnsi" w:hAnsiTheme="majorHAnsi" w:cstheme="minorHAnsi"/>
          <w:sz w:val="22"/>
          <w:szCs w:val="22"/>
        </w:rPr>
        <w:t>e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 xml:space="preserve"> się przy </w:t>
      </w:r>
      <w:r w:rsidR="00156965">
        <w:rPr>
          <w:rStyle w:val="Brak"/>
          <w:rFonts w:asciiTheme="majorHAnsi" w:hAnsiTheme="majorHAnsi" w:cstheme="minorHAnsi"/>
          <w:sz w:val="22"/>
          <w:szCs w:val="22"/>
        </w:rPr>
        <w:t xml:space="preserve">jej </w:t>
      </w:r>
      <w:r>
        <w:rPr>
          <w:rStyle w:val="Brak"/>
          <w:rFonts w:asciiTheme="majorHAnsi" w:hAnsiTheme="majorHAnsi" w:cstheme="minorHAnsi"/>
          <w:sz w:val="22"/>
          <w:szCs w:val="22"/>
        </w:rPr>
        <w:t>wykonywaniu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 xml:space="preserve">, przedstawicieli ustawowych, reprezentantów i pełnomocników drugiej Strony </w:t>
      </w:r>
      <w:r w:rsidR="00156965">
        <w:rPr>
          <w:rStyle w:val="Brak"/>
          <w:rFonts w:asciiTheme="majorHAnsi" w:hAnsiTheme="majorHAnsi" w:cstheme="minorHAnsi"/>
          <w:sz w:val="22"/>
          <w:szCs w:val="22"/>
        </w:rPr>
        <w:t>niniejszej u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>mowy</w:t>
      </w:r>
      <w:r>
        <w:rPr>
          <w:rStyle w:val="Brak"/>
          <w:rFonts w:asciiTheme="majorHAnsi" w:hAnsiTheme="majorHAnsi" w:cstheme="minorHAnsi"/>
          <w:sz w:val="22"/>
          <w:szCs w:val="22"/>
        </w:rPr>
        <w:t>)</w:t>
      </w:r>
      <w:r w:rsidR="00156965" w:rsidRPr="00FC112D">
        <w:rPr>
          <w:rStyle w:val="Brak"/>
          <w:rFonts w:asciiTheme="majorHAnsi" w:hAnsiTheme="majorHAnsi" w:cstheme="minorHAnsi"/>
          <w:sz w:val="22"/>
          <w:szCs w:val="22"/>
        </w:rPr>
        <w:t xml:space="preserve">. </w:t>
      </w:r>
    </w:p>
    <w:p w14:paraId="45181242" w14:textId="56B79307" w:rsidR="00156965" w:rsidRPr="00156965" w:rsidRDefault="00156965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 w:rsidRPr="00FC112D">
        <w:rPr>
          <w:rFonts w:asciiTheme="majorHAnsi" w:hAnsiTheme="majorHAnsi"/>
          <w:sz w:val="22"/>
          <w:szCs w:val="22"/>
        </w:rPr>
        <w:t>Produce</w:t>
      </w:r>
      <w:r w:rsidRPr="00156965">
        <w:rPr>
          <w:rFonts w:asciiTheme="majorHAnsi" w:hAnsiTheme="majorHAnsi"/>
          <w:sz w:val="22"/>
          <w:szCs w:val="22"/>
        </w:rPr>
        <w:t>nt</w:t>
      </w:r>
      <w:r w:rsidRPr="00FC112D">
        <w:rPr>
          <w:rFonts w:asciiTheme="majorHAnsi" w:hAnsiTheme="majorHAnsi"/>
          <w:sz w:val="22"/>
          <w:szCs w:val="22"/>
        </w:rPr>
        <w:t xml:space="preserve"> udostępnia PCBC klauzulę informacyjną dla kontrahentów, której treść zawiera informację wymagane na podstawie art. 13 i 14 RODO</w:t>
      </w:r>
      <w:r w:rsidRPr="00156965">
        <w:rPr>
          <w:rFonts w:asciiTheme="majorHAnsi" w:hAnsiTheme="majorHAnsi"/>
          <w:sz w:val="22"/>
          <w:szCs w:val="22"/>
        </w:rPr>
        <w:t xml:space="preserve">. Wskazana </w:t>
      </w:r>
      <w:r>
        <w:rPr>
          <w:rFonts w:asciiTheme="majorHAnsi" w:hAnsiTheme="majorHAnsi"/>
          <w:sz w:val="22"/>
          <w:szCs w:val="22"/>
        </w:rPr>
        <w:t xml:space="preserve">klauzula stanowi Załącznik nr </w:t>
      </w:r>
      <w:r w:rsidR="00EA1FB0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do niniejszej umowy</w:t>
      </w:r>
      <w:r w:rsidRPr="00FC112D">
        <w:rPr>
          <w:rFonts w:asciiTheme="majorHAnsi" w:hAnsiTheme="majorHAnsi"/>
          <w:sz w:val="22"/>
          <w:szCs w:val="22"/>
        </w:rPr>
        <w:t xml:space="preserve">. PCBC oświadcza, iż zapoznał się z </w:t>
      </w:r>
      <w:r>
        <w:rPr>
          <w:rFonts w:asciiTheme="majorHAnsi" w:hAnsiTheme="majorHAnsi"/>
          <w:sz w:val="22"/>
          <w:szCs w:val="22"/>
        </w:rPr>
        <w:t>ww. k</w:t>
      </w:r>
      <w:r w:rsidRPr="00FC112D">
        <w:rPr>
          <w:rFonts w:asciiTheme="majorHAnsi" w:hAnsiTheme="majorHAnsi"/>
          <w:sz w:val="22"/>
          <w:szCs w:val="22"/>
        </w:rPr>
        <w:t>lauzulą i akceptuje jej treść.</w:t>
      </w:r>
    </w:p>
    <w:p w14:paraId="304AB9B2" w14:textId="77777777" w:rsidR="00D24998" w:rsidRPr="00D24998" w:rsidRDefault="00156965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 w:rsidRPr="00FC112D">
        <w:rPr>
          <w:rFonts w:asciiTheme="majorHAnsi" w:hAnsiTheme="majorHAnsi"/>
          <w:sz w:val="22"/>
          <w:szCs w:val="22"/>
        </w:rPr>
        <w:t>PCBC zobowiązuje się do realizacji obowiązku informacyjnego w terminach wskazanych w przepisach RODO wobec wszystkich osób, o których mowa w ust. 1 niniejszego paragrafu, w imieniu Produc</w:t>
      </w:r>
      <w:r w:rsidR="00624CE6" w:rsidRPr="00624CE6">
        <w:rPr>
          <w:rFonts w:asciiTheme="majorHAnsi" w:hAnsiTheme="majorHAnsi"/>
          <w:sz w:val="22"/>
          <w:szCs w:val="22"/>
        </w:rPr>
        <w:t>enta</w:t>
      </w:r>
      <w:r w:rsidRPr="00FC112D">
        <w:rPr>
          <w:rFonts w:asciiTheme="majorHAnsi" w:hAnsiTheme="majorHAnsi"/>
          <w:sz w:val="22"/>
          <w:szCs w:val="22"/>
        </w:rPr>
        <w:t xml:space="preserve">. </w:t>
      </w:r>
      <w:r w:rsidR="00624CE6" w:rsidRPr="00C45AE1">
        <w:rPr>
          <w:rFonts w:asciiTheme="majorHAnsi" w:hAnsiTheme="majorHAnsi" w:cstheme="minorHAnsi"/>
          <w:sz w:val="22"/>
          <w:szCs w:val="22"/>
        </w:rPr>
        <w:t>występujące</w:t>
      </w:r>
      <w:r w:rsidR="00624CE6">
        <w:rPr>
          <w:rFonts w:asciiTheme="majorHAnsi" w:hAnsiTheme="majorHAnsi" w:cstheme="minorHAnsi"/>
          <w:sz w:val="22"/>
          <w:szCs w:val="22"/>
        </w:rPr>
        <w:t>go</w:t>
      </w:r>
      <w:r w:rsidR="00624CE6" w:rsidRPr="00C45AE1">
        <w:rPr>
          <w:rFonts w:asciiTheme="majorHAnsi" w:hAnsiTheme="majorHAnsi" w:cstheme="minorHAnsi"/>
          <w:sz w:val="22"/>
          <w:szCs w:val="22"/>
        </w:rPr>
        <w:t xml:space="preserve"> jako administrator danych osobowych</w:t>
      </w:r>
      <w:r w:rsidR="00624CE6">
        <w:rPr>
          <w:rFonts w:asciiTheme="majorHAnsi" w:hAnsiTheme="majorHAnsi" w:cstheme="minorHAnsi"/>
          <w:sz w:val="22"/>
          <w:szCs w:val="22"/>
        </w:rPr>
        <w:t>.</w:t>
      </w:r>
      <w:r w:rsidR="00624CE6" w:rsidRPr="00624CE6">
        <w:rPr>
          <w:rFonts w:asciiTheme="majorHAnsi" w:hAnsiTheme="majorHAnsi"/>
          <w:sz w:val="22"/>
          <w:szCs w:val="22"/>
        </w:rPr>
        <w:t xml:space="preserve"> </w:t>
      </w:r>
    </w:p>
    <w:p w14:paraId="4781583A" w14:textId="20222CD9" w:rsidR="00156965" w:rsidRPr="00624CE6" w:rsidRDefault="00156965" w:rsidP="00D24998">
      <w:pPr>
        <w:pStyle w:val="Akapitzlist"/>
        <w:widowControl w:val="0"/>
        <w:spacing w:beforeLines="20" w:before="48"/>
        <w:ind w:left="709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 w:rsidRPr="004F2A7C">
        <w:rPr>
          <w:rFonts w:asciiTheme="majorHAnsi" w:hAnsiTheme="majorHAnsi"/>
          <w:sz w:val="22"/>
          <w:szCs w:val="22"/>
        </w:rPr>
        <w:t xml:space="preserve">Jeśli w trakcie realizacji </w:t>
      </w:r>
      <w:r w:rsidR="00624CE6">
        <w:rPr>
          <w:rFonts w:asciiTheme="majorHAnsi" w:hAnsiTheme="majorHAnsi"/>
          <w:sz w:val="22"/>
          <w:szCs w:val="22"/>
        </w:rPr>
        <w:t xml:space="preserve">niniejszej </w:t>
      </w:r>
      <w:r w:rsidR="00690D48">
        <w:rPr>
          <w:rFonts w:asciiTheme="majorHAnsi" w:hAnsiTheme="majorHAnsi"/>
          <w:sz w:val="22"/>
          <w:szCs w:val="22"/>
        </w:rPr>
        <w:t>u</w:t>
      </w:r>
      <w:r w:rsidRPr="00624CE6">
        <w:rPr>
          <w:rFonts w:asciiTheme="majorHAnsi" w:hAnsiTheme="majorHAnsi"/>
          <w:sz w:val="22"/>
          <w:szCs w:val="22"/>
        </w:rPr>
        <w:t>mowy PCBC będzie wykonywał w imieniu Producenta czynności związane z przetwarzaniem danych osobowych innych osób niż wymienione</w:t>
      </w:r>
      <w:r w:rsidR="008D0380">
        <w:rPr>
          <w:rFonts w:asciiTheme="majorHAnsi" w:hAnsiTheme="majorHAnsi"/>
          <w:sz w:val="22"/>
          <w:szCs w:val="22"/>
        </w:rPr>
        <w:t xml:space="preserve"> w ust. 1</w:t>
      </w:r>
      <w:r w:rsidRPr="00624CE6">
        <w:rPr>
          <w:rFonts w:asciiTheme="majorHAnsi" w:hAnsiTheme="majorHAnsi"/>
          <w:sz w:val="22"/>
          <w:szCs w:val="22"/>
        </w:rPr>
        <w:t xml:space="preserve">, których administratorem </w:t>
      </w:r>
      <w:r w:rsidR="00624CE6">
        <w:rPr>
          <w:rFonts w:asciiTheme="majorHAnsi" w:hAnsiTheme="majorHAnsi"/>
          <w:sz w:val="22"/>
          <w:szCs w:val="22"/>
        </w:rPr>
        <w:t xml:space="preserve">danych osobowych </w:t>
      </w:r>
      <w:r w:rsidRPr="00624CE6">
        <w:rPr>
          <w:rFonts w:asciiTheme="majorHAnsi" w:hAnsiTheme="majorHAnsi"/>
          <w:sz w:val="22"/>
          <w:szCs w:val="22"/>
        </w:rPr>
        <w:t xml:space="preserve">będzie Producent, </w:t>
      </w:r>
      <w:r w:rsidR="008D0380">
        <w:rPr>
          <w:rFonts w:asciiTheme="majorHAnsi" w:hAnsiTheme="majorHAnsi"/>
          <w:sz w:val="22"/>
          <w:szCs w:val="22"/>
        </w:rPr>
        <w:t xml:space="preserve">to </w:t>
      </w:r>
      <w:r w:rsidRPr="00624CE6">
        <w:rPr>
          <w:rFonts w:asciiTheme="majorHAnsi" w:hAnsiTheme="majorHAnsi"/>
          <w:sz w:val="22"/>
          <w:szCs w:val="22"/>
        </w:rPr>
        <w:t xml:space="preserve">PCBC zobowiązuje się do realizacji </w:t>
      </w:r>
      <w:r w:rsidR="00D24998">
        <w:rPr>
          <w:rFonts w:asciiTheme="majorHAnsi" w:hAnsiTheme="majorHAnsi"/>
          <w:sz w:val="22"/>
          <w:szCs w:val="22"/>
        </w:rPr>
        <w:br/>
      </w:r>
      <w:r w:rsidRPr="00624CE6">
        <w:rPr>
          <w:rFonts w:asciiTheme="majorHAnsi" w:hAnsiTheme="majorHAnsi"/>
          <w:sz w:val="22"/>
          <w:szCs w:val="22"/>
        </w:rPr>
        <w:t>w imieniu Producenta obowiązku informacyjnego także względem tych osób.</w:t>
      </w:r>
    </w:p>
    <w:p w14:paraId="48227246" w14:textId="5B906642" w:rsidR="00156965" w:rsidRPr="00624CE6" w:rsidRDefault="00156965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 w:rsidRPr="00624CE6">
        <w:rPr>
          <w:rFonts w:asciiTheme="majorHAnsi" w:hAnsiTheme="majorHAnsi"/>
          <w:sz w:val="22"/>
          <w:szCs w:val="22"/>
        </w:rPr>
        <w:t>PCBC udostępnia klauzulę</w:t>
      </w:r>
      <w:r w:rsidR="00624CE6" w:rsidRPr="00624CE6">
        <w:rPr>
          <w:rFonts w:asciiTheme="majorHAnsi" w:hAnsiTheme="majorHAnsi"/>
          <w:sz w:val="22"/>
          <w:szCs w:val="22"/>
        </w:rPr>
        <w:t xml:space="preserve"> </w:t>
      </w:r>
      <w:r w:rsidR="00624CE6" w:rsidRPr="00C45AE1">
        <w:rPr>
          <w:rFonts w:asciiTheme="majorHAnsi" w:hAnsiTheme="majorHAnsi"/>
          <w:sz w:val="22"/>
          <w:szCs w:val="22"/>
        </w:rPr>
        <w:t>informacyjną dla kontrahentów, której treść zawiera informację wymagane na podstawie art. 13 i 14 RODO</w:t>
      </w:r>
      <w:r w:rsidRPr="00624CE6">
        <w:rPr>
          <w:rFonts w:asciiTheme="majorHAnsi" w:hAnsiTheme="majorHAnsi"/>
          <w:sz w:val="22"/>
          <w:szCs w:val="22"/>
        </w:rPr>
        <w:t>, której treść zawiera informację wymagane na podstawie art. 13 i 14 RODO</w:t>
      </w:r>
      <w:r w:rsidR="00624CE6">
        <w:rPr>
          <w:rFonts w:asciiTheme="majorHAnsi" w:hAnsiTheme="majorHAnsi"/>
          <w:sz w:val="22"/>
          <w:szCs w:val="22"/>
        </w:rPr>
        <w:t xml:space="preserve">. </w:t>
      </w:r>
      <w:r w:rsidR="00624CE6" w:rsidRPr="00156965">
        <w:rPr>
          <w:rFonts w:asciiTheme="majorHAnsi" w:hAnsiTheme="majorHAnsi"/>
          <w:sz w:val="22"/>
          <w:szCs w:val="22"/>
        </w:rPr>
        <w:t xml:space="preserve">Wskazana </w:t>
      </w:r>
      <w:r w:rsidR="00624CE6">
        <w:rPr>
          <w:rFonts w:asciiTheme="majorHAnsi" w:hAnsiTheme="majorHAnsi"/>
          <w:sz w:val="22"/>
          <w:szCs w:val="22"/>
        </w:rPr>
        <w:t xml:space="preserve">klauzula stanowi Załącznik nr </w:t>
      </w:r>
      <w:r w:rsidR="00EA1FB0">
        <w:rPr>
          <w:rFonts w:asciiTheme="majorHAnsi" w:hAnsiTheme="majorHAnsi"/>
          <w:sz w:val="22"/>
          <w:szCs w:val="22"/>
        </w:rPr>
        <w:t>4</w:t>
      </w:r>
      <w:r w:rsidR="00624CE6">
        <w:rPr>
          <w:rFonts w:asciiTheme="majorHAnsi" w:hAnsiTheme="majorHAnsi"/>
          <w:sz w:val="22"/>
          <w:szCs w:val="22"/>
        </w:rPr>
        <w:t xml:space="preserve"> do niniejszej umowy</w:t>
      </w:r>
      <w:r w:rsidR="00624CE6" w:rsidRPr="00C45AE1">
        <w:rPr>
          <w:rFonts w:asciiTheme="majorHAnsi" w:hAnsiTheme="majorHAnsi"/>
          <w:sz w:val="22"/>
          <w:szCs w:val="22"/>
        </w:rPr>
        <w:t xml:space="preserve">. </w:t>
      </w:r>
      <w:r w:rsidR="00624CE6">
        <w:rPr>
          <w:rFonts w:asciiTheme="majorHAnsi" w:hAnsiTheme="majorHAnsi"/>
          <w:sz w:val="22"/>
          <w:szCs w:val="22"/>
        </w:rPr>
        <w:t xml:space="preserve">Producent </w:t>
      </w:r>
      <w:r w:rsidR="00624CE6" w:rsidRPr="00C45AE1">
        <w:rPr>
          <w:rFonts w:asciiTheme="majorHAnsi" w:hAnsiTheme="majorHAnsi"/>
          <w:sz w:val="22"/>
          <w:szCs w:val="22"/>
        </w:rPr>
        <w:t xml:space="preserve">oświadcza, iż zapoznał się z </w:t>
      </w:r>
      <w:r w:rsidR="00624CE6">
        <w:rPr>
          <w:rFonts w:asciiTheme="majorHAnsi" w:hAnsiTheme="majorHAnsi"/>
          <w:sz w:val="22"/>
          <w:szCs w:val="22"/>
        </w:rPr>
        <w:t>ww. k</w:t>
      </w:r>
      <w:r w:rsidR="00624CE6" w:rsidRPr="00C45AE1">
        <w:rPr>
          <w:rFonts w:asciiTheme="majorHAnsi" w:hAnsiTheme="majorHAnsi"/>
          <w:sz w:val="22"/>
          <w:szCs w:val="22"/>
        </w:rPr>
        <w:t>lauzulą i akceptuje jej treść</w:t>
      </w:r>
      <w:r w:rsidRPr="00624CE6">
        <w:rPr>
          <w:rFonts w:asciiTheme="majorHAnsi" w:hAnsiTheme="majorHAnsi"/>
          <w:sz w:val="22"/>
          <w:szCs w:val="22"/>
        </w:rPr>
        <w:t>.</w:t>
      </w:r>
    </w:p>
    <w:p w14:paraId="6C86D306" w14:textId="224BB861" w:rsidR="00156965" w:rsidRDefault="00156965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 w:rsidRPr="00624CE6">
        <w:rPr>
          <w:rFonts w:asciiTheme="majorHAnsi" w:hAnsiTheme="majorHAnsi" w:cstheme="minorHAnsi"/>
          <w:sz w:val="22"/>
          <w:szCs w:val="22"/>
        </w:rPr>
        <w:t xml:space="preserve">Producent zobowiązuje się do realizacji obowiązku informacyjnego w terminach wskazanych </w:t>
      </w:r>
      <w:r w:rsidR="00D24998">
        <w:rPr>
          <w:rFonts w:asciiTheme="majorHAnsi" w:hAnsiTheme="majorHAnsi" w:cstheme="minorHAnsi"/>
          <w:sz w:val="22"/>
          <w:szCs w:val="22"/>
        </w:rPr>
        <w:br/>
      </w:r>
      <w:r w:rsidRPr="00624CE6">
        <w:rPr>
          <w:rFonts w:asciiTheme="majorHAnsi" w:hAnsiTheme="majorHAnsi" w:cstheme="minorHAnsi"/>
          <w:sz w:val="22"/>
          <w:szCs w:val="22"/>
        </w:rPr>
        <w:t xml:space="preserve">w przepisach RODO wobec wszystkich osób, o których mowa w ust. 1 niniejszego paragrafu, </w:t>
      </w:r>
      <w:r w:rsidR="00D24998">
        <w:rPr>
          <w:rFonts w:asciiTheme="majorHAnsi" w:hAnsiTheme="majorHAnsi" w:cstheme="minorHAnsi"/>
          <w:sz w:val="22"/>
          <w:szCs w:val="22"/>
        </w:rPr>
        <w:br/>
      </w:r>
      <w:r w:rsidRPr="00624CE6">
        <w:rPr>
          <w:rFonts w:asciiTheme="majorHAnsi" w:hAnsiTheme="majorHAnsi" w:cstheme="minorHAnsi"/>
          <w:sz w:val="22"/>
          <w:szCs w:val="22"/>
        </w:rPr>
        <w:t>w imieniu PCBC, występujące</w:t>
      </w:r>
      <w:r w:rsidR="008D0380">
        <w:rPr>
          <w:rFonts w:asciiTheme="majorHAnsi" w:hAnsiTheme="majorHAnsi" w:cstheme="minorHAnsi"/>
          <w:sz w:val="22"/>
          <w:szCs w:val="22"/>
        </w:rPr>
        <w:t>go</w:t>
      </w:r>
      <w:r w:rsidRPr="00624CE6">
        <w:rPr>
          <w:rFonts w:asciiTheme="majorHAnsi" w:hAnsiTheme="majorHAnsi" w:cstheme="minorHAnsi"/>
          <w:sz w:val="22"/>
          <w:szCs w:val="22"/>
        </w:rPr>
        <w:t xml:space="preserve"> jako administrator danych osobowych. Jeśli w trakcie realizacji </w:t>
      </w:r>
      <w:r w:rsidR="00624CE6">
        <w:rPr>
          <w:rFonts w:asciiTheme="majorHAnsi" w:hAnsiTheme="majorHAnsi" w:cstheme="minorHAnsi"/>
          <w:sz w:val="22"/>
          <w:szCs w:val="22"/>
        </w:rPr>
        <w:t>niniejszej u</w:t>
      </w:r>
      <w:r w:rsidRPr="00624CE6">
        <w:rPr>
          <w:rFonts w:asciiTheme="majorHAnsi" w:hAnsiTheme="majorHAnsi" w:cstheme="minorHAnsi"/>
          <w:sz w:val="22"/>
          <w:szCs w:val="22"/>
        </w:rPr>
        <w:t xml:space="preserve">mowy Producent będzie wykonywać w imieniu PCBC czynności związane </w:t>
      </w:r>
      <w:r w:rsidR="00D24998">
        <w:rPr>
          <w:rFonts w:asciiTheme="majorHAnsi" w:hAnsiTheme="majorHAnsi" w:cstheme="minorHAnsi"/>
          <w:sz w:val="22"/>
          <w:szCs w:val="22"/>
        </w:rPr>
        <w:br/>
      </w:r>
      <w:r w:rsidRPr="00624CE6">
        <w:rPr>
          <w:rFonts w:asciiTheme="majorHAnsi" w:hAnsiTheme="majorHAnsi" w:cstheme="minorHAnsi"/>
          <w:sz w:val="22"/>
          <w:szCs w:val="22"/>
        </w:rPr>
        <w:t>z przetwarzaniem danych osobowych innych osób niż wymienione</w:t>
      </w:r>
      <w:r w:rsidR="008D0380">
        <w:rPr>
          <w:rFonts w:asciiTheme="majorHAnsi" w:hAnsiTheme="majorHAnsi" w:cstheme="minorHAnsi"/>
          <w:sz w:val="22"/>
          <w:szCs w:val="22"/>
        </w:rPr>
        <w:t xml:space="preserve"> w ust. 1</w:t>
      </w:r>
      <w:r w:rsidRPr="00624CE6">
        <w:rPr>
          <w:rFonts w:asciiTheme="majorHAnsi" w:hAnsiTheme="majorHAnsi" w:cstheme="minorHAnsi"/>
          <w:sz w:val="22"/>
          <w:szCs w:val="22"/>
        </w:rPr>
        <w:t xml:space="preserve">, których administratorem będzie PCBC, </w:t>
      </w:r>
      <w:r w:rsidR="008D0380">
        <w:rPr>
          <w:rFonts w:asciiTheme="majorHAnsi" w:hAnsiTheme="majorHAnsi" w:cstheme="minorHAnsi"/>
          <w:sz w:val="22"/>
          <w:szCs w:val="22"/>
        </w:rPr>
        <w:t xml:space="preserve">to </w:t>
      </w:r>
      <w:r w:rsidRPr="00624CE6">
        <w:rPr>
          <w:rFonts w:asciiTheme="majorHAnsi" w:hAnsiTheme="majorHAnsi" w:cstheme="minorHAnsi"/>
          <w:sz w:val="22"/>
          <w:szCs w:val="22"/>
        </w:rPr>
        <w:t>Producent zobowiązuje się do realizacji w imieniu PCBC obowiązku informacyjnego także względem tych osób.</w:t>
      </w:r>
    </w:p>
    <w:p w14:paraId="0B5A8717" w14:textId="4AF8BC0A" w:rsidR="00156965" w:rsidRDefault="00156965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 w:rsidRPr="00624CE6">
        <w:rPr>
          <w:rFonts w:asciiTheme="majorHAnsi" w:hAnsiTheme="majorHAnsi"/>
          <w:sz w:val="22"/>
          <w:szCs w:val="22"/>
        </w:rPr>
        <w:t xml:space="preserve">W </w:t>
      </w:r>
      <w:r w:rsidRPr="00624CE6">
        <w:rPr>
          <w:rFonts w:asciiTheme="majorHAnsi" w:hAnsiTheme="majorHAnsi" w:cstheme="minorHAnsi"/>
          <w:sz w:val="22"/>
          <w:szCs w:val="22"/>
        </w:rPr>
        <w:t xml:space="preserve">przypadku, gdy w trakcie realizacji niniejszej </w:t>
      </w:r>
      <w:r w:rsidR="00624CE6">
        <w:rPr>
          <w:rFonts w:asciiTheme="majorHAnsi" w:hAnsiTheme="majorHAnsi" w:cstheme="minorHAnsi"/>
          <w:sz w:val="22"/>
          <w:szCs w:val="22"/>
        </w:rPr>
        <w:t>u</w:t>
      </w:r>
      <w:r w:rsidRPr="00624CE6">
        <w:rPr>
          <w:rFonts w:asciiTheme="majorHAnsi" w:hAnsiTheme="majorHAnsi" w:cstheme="minorHAnsi"/>
          <w:sz w:val="22"/>
          <w:szCs w:val="22"/>
        </w:rPr>
        <w:t>mowy będzie dochodziło do powierzenia przetwarza</w:t>
      </w:r>
      <w:r w:rsidR="00624CE6">
        <w:rPr>
          <w:rFonts w:asciiTheme="majorHAnsi" w:hAnsiTheme="majorHAnsi" w:cstheme="minorHAnsi"/>
          <w:sz w:val="22"/>
          <w:szCs w:val="22"/>
        </w:rPr>
        <w:t>nia dan</w:t>
      </w:r>
      <w:r w:rsidR="00624CE6" w:rsidRPr="0081007C">
        <w:rPr>
          <w:rFonts w:asciiTheme="majorHAnsi" w:hAnsiTheme="majorHAnsi" w:cstheme="minorHAnsi"/>
          <w:sz w:val="22"/>
          <w:szCs w:val="22"/>
        </w:rPr>
        <w:t>ych osobowych, Produc</w:t>
      </w:r>
      <w:r w:rsidR="00F24627">
        <w:rPr>
          <w:rFonts w:asciiTheme="majorHAnsi" w:hAnsiTheme="majorHAnsi" w:cstheme="minorHAnsi"/>
          <w:sz w:val="22"/>
          <w:szCs w:val="22"/>
        </w:rPr>
        <w:t>en</w:t>
      </w:r>
      <w:r w:rsidR="00624CE6" w:rsidRPr="0081007C">
        <w:rPr>
          <w:rFonts w:asciiTheme="majorHAnsi" w:hAnsiTheme="majorHAnsi" w:cstheme="minorHAnsi"/>
          <w:sz w:val="22"/>
          <w:szCs w:val="22"/>
        </w:rPr>
        <w:t>t</w:t>
      </w:r>
      <w:r w:rsidRPr="0081007C">
        <w:rPr>
          <w:rFonts w:asciiTheme="majorHAnsi" w:hAnsiTheme="majorHAnsi" w:cstheme="minorHAnsi"/>
          <w:sz w:val="22"/>
          <w:szCs w:val="22"/>
        </w:rPr>
        <w:t xml:space="preserve"> podpisz</w:t>
      </w:r>
      <w:r w:rsidR="00624CE6" w:rsidRPr="0081007C">
        <w:rPr>
          <w:rFonts w:asciiTheme="majorHAnsi" w:hAnsiTheme="majorHAnsi" w:cstheme="minorHAnsi"/>
          <w:sz w:val="22"/>
          <w:szCs w:val="22"/>
        </w:rPr>
        <w:t>e</w:t>
      </w:r>
      <w:r w:rsidRPr="0081007C">
        <w:rPr>
          <w:rFonts w:asciiTheme="majorHAnsi" w:hAnsiTheme="majorHAnsi" w:cstheme="minorHAnsi"/>
          <w:sz w:val="22"/>
          <w:szCs w:val="22"/>
        </w:rPr>
        <w:t xml:space="preserve"> z PCBC wymagan</w:t>
      </w:r>
      <w:r w:rsidR="00624CE6" w:rsidRPr="0081007C">
        <w:rPr>
          <w:rFonts w:asciiTheme="majorHAnsi" w:hAnsiTheme="majorHAnsi" w:cstheme="minorHAnsi"/>
          <w:sz w:val="22"/>
          <w:szCs w:val="22"/>
        </w:rPr>
        <w:t>ą</w:t>
      </w:r>
      <w:r w:rsidRPr="0081007C">
        <w:rPr>
          <w:rFonts w:asciiTheme="majorHAnsi" w:hAnsiTheme="majorHAnsi" w:cstheme="minorHAnsi"/>
          <w:sz w:val="22"/>
          <w:szCs w:val="22"/>
        </w:rPr>
        <w:t xml:space="preserve"> prawem umow</w:t>
      </w:r>
      <w:r w:rsidR="00624CE6" w:rsidRPr="0081007C">
        <w:rPr>
          <w:rFonts w:asciiTheme="majorHAnsi" w:hAnsiTheme="majorHAnsi" w:cstheme="minorHAnsi"/>
          <w:sz w:val="22"/>
          <w:szCs w:val="22"/>
        </w:rPr>
        <w:t>ę</w:t>
      </w:r>
      <w:r w:rsidRPr="0081007C">
        <w:rPr>
          <w:rFonts w:asciiTheme="majorHAnsi" w:hAnsiTheme="majorHAnsi" w:cstheme="minorHAnsi"/>
          <w:sz w:val="22"/>
          <w:szCs w:val="22"/>
        </w:rPr>
        <w:t xml:space="preserve"> regulując</w:t>
      </w:r>
      <w:r w:rsidR="00624CE6" w:rsidRPr="0081007C">
        <w:rPr>
          <w:rFonts w:asciiTheme="majorHAnsi" w:hAnsiTheme="majorHAnsi" w:cstheme="minorHAnsi"/>
          <w:sz w:val="22"/>
          <w:szCs w:val="22"/>
        </w:rPr>
        <w:t>ą</w:t>
      </w:r>
      <w:r w:rsidRPr="0081007C">
        <w:rPr>
          <w:rFonts w:asciiTheme="majorHAnsi" w:hAnsiTheme="majorHAnsi" w:cstheme="minorHAnsi"/>
          <w:sz w:val="22"/>
          <w:szCs w:val="22"/>
        </w:rPr>
        <w:t xml:space="preserve"> wzajemne przekazywanie danych.</w:t>
      </w:r>
    </w:p>
    <w:p w14:paraId="4213BC57" w14:textId="371330B7" w:rsidR="0081007C" w:rsidRDefault="0081007C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 w:rsidRPr="0081007C">
        <w:rPr>
          <w:rFonts w:asciiTheme="majorHAnsi" w:hAnsiTheme="majorHAnsi" w:cstheme="minorHAnsi"/>
          <w:sz w:val="22"/>
          <w:szCs w:val="22"/>
        </w:rPr>
        <w:t xml:space="preserve">Każda ze Stron zobowiązuje się do utrzymania w tajemnicy i niewykorzystywania w sposób inny niż zgodny z </w:t>
      </w:r>
      <w:r>
        <w:rPr>
          <w:rFonts w:asciiTheme="majorHAnsi" w:hAnsiTheme="majorHAnsi" w:cstheme="minorHAnsi"/>
          <w:sz w:val="22"/>
          <w:szCs w:val="22"/>
        </w:rPr>
        <w:t>niniejszą u</w:t>
      </w:r>
      <w:r w:rsidRPr="0081007C">
        <w:rPr>
          <w:rFonts w:asciiTheme="majorHAnsi" w:hAnsiTheme="majorHAnsi" w:cstheme="minorHAnsi"/>
          <w:sz w:val="22"/>
          <w:szCs w:val="22"/>
        </w:rPr>
        <w:t xml:space="preserve">mową, </w:t>
      </w:r>
      <w:r w:rsidR="008F656E">
        <w:rPr>
          <w:rFonts w:asciiTheme="majorHAnsi" w:hAnsiTheme="majorHAnsi" w:cstheme="minorHAnsi"/>
          <w:sz w:val="22"/>
          <w:szCs w:val="22"/>
        </w:rPr>
        <w:t>wszelkich</w:t>
      </w:r>
      <w:r w:rsidRPr="0081007C">
        <w:rPr>
          <w:rFonts w:asciiTheme="majorHAnsi" w:hAnsiTheme="majorHAnsi" w:cstheme="minorHAnsi"/>
          <w:sz w:val="22"/>
          <w:szCs w:val="22"/>
        </w:rPr>
        <w:t xml:space="preserve"> ujawnionych jej informacji i danych. Każda ze Stron przyjmuje do wiadomości, że wszelkie </w:t>
      </w:r>
      <w:r>
        <w:rPr>
          <w:rFonts w:asciiTheme="majorHAnsi" w:hAnsiTheme="majorHAnsi" w:cstheme="minorHAnsi"/>
          <w:sz w:val="22"/>
          <w:szCs w:val="22"/>
        </w:rPr>
        <w:t>informacje</w:t>
      </w:r>
      <w:r w:rsidRPr="0081007C">
        <w:rPr>
          <w:rFonts w:asciiTheme="majorHAnsi" w:hAnsiTheme="majorHAnsi" w:cstheme="minorHAnsi"/>
          <w:sz w:val="22"/>
          <w:szCs w:val="22"/>
        </w:rPr>
        <w:t xml:space="preserve"> </w:t>
      </w:r>
      <w:r w:rsidR="008F656E">
        <w:rPr>
          <w:rFonts w:asciiTheme="majorHAnsi" w:hAnsiTheme="majorHAnsi" w:cstheme="minorHAnsi"/>
          <w:sz w:val="22"/>
          <w:szCs w:val="22"/>
        </w:rPr>
        <w:t xml:space="preserve">i dane </w:t>
      </w:r>
      <w:r w:rsidRPr="0081007C">
        <w:rPr>
          <w:rFonts w:asciiTheme="majorHAnsi" w:hAnsiTheme="majorHAnsi" w:cstheme="minorHAnsi"/>
          <w:sz w:val="22"/>
          <w:szCs w:val="22"/>
        </w:rPr>
        <w:t xml:space="preserve">przekazywane przez </w:t>
      </w:r>
      <w:r w:rsidR="008F656E">
        <w:rPr>
          <w:rFonts w:asciiTheme="majorHAnsi" w:hAnsiTheme="majorHAnsi" w:cstheme="minorHAnsi"/>
          <w:sz w:val="22"/>
          <w:szCs w:val="22"/>
        </w:rPr>
        <w:t xml:space="preserve">drugą </w:t>
      </w:r>
      <w:r w:rsidRPr="0081007C">
        <w:rPr>
          <w:rFonts w:asciiTheme="majorHAnsi" w:hAnsiTheme="majorHAnsi" w:cstheme="minorHAnsi"/>
          <w:sz w:val="22"/>
          <w:szCs w:val="22"/>
        </w:rPr>
        <w:t xml:space="preserve">Stronę w związku z wykonywaniem </w:t>
      </w:r>
      <w:r>
        <w:rPr>
          <w:rFonts w:asciiTheme="majorHAnsi" w:hAnsiTheme="majorHAnsi" w:cstheme="minorHAnsi"/>
          <w:sz w:val="22"/>
          <w:szCs w:val="22"/>
        </w:rPr>
        <w:t>niniejszej u</w:t>
      </w:r>
      <w:r w:rsidRPr="0081007C">
        <w:rPr>
          <w:rFonts w:asciiTheme="majorHAnsi" w:hAnsiTheme="majorHAnsi" w:cstheme="minorHAnsi"/>
          <w:sz w:val="22"/>
          <w:szCs w:val="22"/>
        </w:rPr>
        <w:t xml:space="preserve">mowy (w tym w szczególności dane techniczne, technologiczne, </w:t>
      </w:r>
      <w:r w:rsidRPr="0081007C">
        <w:rPr>
          <w:rFonts w:asciiTheme="majorHAnsi" w:hAnsiTheme="majorHAnsi" w:cstheme="minorHAnsi"/>
          <w:sz w:val="22"/>
          <w:szCs w:val="22"/>
        </w:rPr>
        <w:lastRenderedPageBreak/>
        <w:t>organizacyjne, ekonomiczne, handlowe i prawne)</w:t>
      </w:r>
      <w:r>
        <w:rPr>
          <w:rFonts w:asciiTheme="majorHAnsi" w:hAnsiTheme="majorHAnsi" w:cstheme="minorHAnsi"/>
          <w:sz w:val="22"/>
          <w:szCs w:val="22"/>
        </w:rPr>
        <w:t>, a także</w:t>
      </w:r>
      <w:r w:rsidRPr="00FC112D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wszelkie</w:t>
      </w:r>
      <w:r w:rsidRPr="00C45AE1">
        <w:rPr>
          <w:rFonts w:asciiTheme="majorHAnsi" w:hAnsiTheme="majorHAnsi" w:cstheme="minorHAnsi"/>
          <w:sz w:val="22"/>
          <w:szCs w:val="22"/>
        </w:rPr>
        <w:t xml:space="preserve"> informacje i materiały powstałe w wyniku wykonania </w:t>
      </w:r>
      <w:r w:rsidR="005413B9">
        <w:rPr>
          <w:rFonts w:asciiTheme="majorHAnsi" w:hAnsiTheme="majorHAnsi" w:cstheme="minorHAnsi"/>
          <w:sz w:val="22"/>
          <w:szCs w:val="22"/>
        </w:rPr>
        <w:t xml:space="preserve">niniejszej umowy </w:t>
      </w:r>
      <w:r w:rsidR="008F656E">
        <w:rPr>
          <w:rFonts w:asciiTheme="majorHAnsi" w:hAnsiTheme="majorHAnsi" w:cstheme="minorHAnsi"/>
          <w:sz w:val="22"/>
          <w:szCs w:val="22"/>
        </w:rPr>
        <w:t>(</w:t>
      </w:r>
      <w:r w:rsidRPr="00C45AE1">
        <w:rPr>
          <w:rFonts w:asciiTheme="majorHAnsi" w:hAnsiTheme="majorHAnsi" w:cstheme="minorHAnsi"/>
          <w:sz w:val="22"/>
          <w:szCs w:val="22"/>
        </w:rPr>
        <w:t>pisemne, graficzne, zapisane w formie elektronicz</w:t>
      </w:r>
      <w:r w:rsidR="008F656E">
        <w:rPr>
          <w:rFonts w:asciiTheme="majorHAnsi" w:hAnsiTheme="majorHAnsi" w:cstheme="minorHAnsi"/>
          <w:sz w:val="22"/>
          <w:szCs w:val="22"/>
        </w:rPr>
        <w:t>nej lub w inny sposób)</w:t>
      </w:r>
      <w:r w:rsidRPr="00C45AE1">
        <w:rPr>
          <w:rFonts w:asciiTheme="majorHAnsi" w:hAnsiTheme="majorHAnsi" w:cstheme="minorHAnsi"/>
          <w:sz w:val="22"/>
          <w:szCs w:val="22"/>
        </w:rPr>
        <w:t xml:space="preserve"> są poufne i nie mogą być bez uprzedniej</w:t>
      </w:r>
      <w:r w:rsidR="008F656E">
        <w:rPr>
          <w:rFonts w:asciiTheme="majorHAnsi" w:hAnsiTheme="majorHAnsi" w:cstheme="minorHAnsi"/>
          <w:sz w:val="22"/>
          <w:szCs w:val="22"/>
        </w:rPr>
        <w:t>,</w:t>
      </w:r>
      <w:r w:rsidRPr="00C45AE1">
        <w:rPr>
          <w:rFonts w:asciiTheme="majorHAnsi" w:hAnsiTheme="majorHAnsi" w:cstheme="minorHAnsi"/>
          <w:sz w:val="22"/>
          <w:szCs w:val="22"/>
        </w:rPr>
        <w:t xml:space="preserve"> pisemnej zgody </w:t>
      </w:r>
      <w:r w:rsidR="008F656E">
        <w:rPr>
          <w:rFonts w:asciiTheme="majorHAnsi" w:hAnsiTheme="majorHAnsi" w:cstheme="minorHAnsi"/>
          <w:sz w:val="22"/>
          <w:szCs w:val="22"/>
        </w:rPr>
        <w:t xml:space="preserve">drugiej </w:t>
      </w:r>
      <w:r w:rsidRPr="00C45AE1">
        <w:rPr>
          <w:rFonts w:asciiTheme="majorHAnsi" w:hAnsiTheme="majorHAnsi" w:cstheme="minorHAnsi"/>
          <w:sz w:val="22"/>
          <w:szCs w:val="22"/>
        </w:rPr>
        <w:t xml:space="preserve">Strony udostępnione ani ujawnione </w:t>
      </w:r>
      <w:r w:rsidR="008F656E" w:rsidRPr="00C45AE1">
        <w:rPr>
          <w:rFonts w:asciiTheme="majorHAnsi" w:hAnsiTheme="majorHAnsi" w:cstheme="minorHAnsi"/>
          <w:sz w:val="22"/>
          <w:szCs w:val="22"/>
        </w:rPr>
        <w:t>jakiejkolwiek osobie trzeciej</w:t>
      </w:r>
      <w:r>
        <w:rPr>
          <w:rFonts w:asciiTheme="majorHAnsi" w:hAnsiTheme="majorHAnsi" w:cstheme="minorHAnsi"/>
          <w:sz w:val="22"/>
          <w:szCs w:val="22"/>
        </w:rPr>
        <w:t xml:space="preserve"> - </w:t>
      </w:r>
      <w:r w:rsidRPr="00A520FF">
        <w:rPr>
          <w:rFonts w:asciiTheme="majorHAnsi" w:hAnsiTheme="majorHAnsi" w:cstheme="minorHAnsi"/>
          <w:sz w:val="22"/>
          <w:szCs w:val="22"/>
        </w:rPr>
        <w:t xml:space="preserve">stanowią </w:t>
      </w:r>
      <w:r w:rsidR="005413B9">
        <w:rPr>
          <w:rFonts w:asciiTheme="majorHAnsi" w:hAnsiTheme="majorHAnsi" w:cstheme="minorHAnsi"/>
          <w:sz w:val="22"/>
          <w:szCs w:val="22"/>
        </w:rPr>
        <w:t xml:space="preserve">one </w:t>
      </w:r>
      <w:r>
        <w:rPr>
          <w:rFonts w:asciiTheme="majorHAnsi" w:hAnsiTheme="majorHAnsi" w:cstheme="minorHAnsi"/>
          <w:sz w:val="22"/>
          <w:szCs w:val="22"/>
        </w:rPr>
        <w:t xml:space="preserve">informacje poufne i </w:t>
      </w:r>
      <w:r w:rsidRPr="00FC112D">
        <w:rPr>
          <w:rFonts w:asciiTheme="majorHAnsi" w:hAnsiTheme="majorHAnsi" w:cstheme="minorHAnsi"/>
          <w:sz w:val="22"/>
          <w:szCs w:val="22"/>
        </w:rPr>
        <w:t>tajemnicę przedsiębiorstwa Strony ujawniającej i podlegają ochronie z tego tytułu</w:t>
      </w:r>
      <w:r>
        <w:rPr>
          <w:rFonts w:asciiTheme="majorHAnsi" w:hAnsiTheme="majorHAnsi" w:cstheme="minorHAnsi"/>
          <w:sz w:val="22"/>
          <w:szCs w:val="22"/>
        </w:rPr>
        <w:t xml:space="preserve"> (Informacje Poufne)</w:t>
      </w:r>
      <w:r w:rsidRPr="00A520FF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0505DD1F" w14:textId="033151D6" w:rsidR="0081007C" w:rsidRPr="0081007C" w:rsidRDefault="0081007C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 w:rsidRPr="00FC112D">
        <w:rPr>
          <w:rFonts w:asciiTheme="majorHAnsi" w:hAnsiTheme="majorHAnsi" w:cstheme="minorHAnsi"/>
          <w:sz w:val="22"/>
          <w:szCs w:val="22"/>
        </w:rPr>
        <w:t xml:space="preserve">Zobowiązanie do zachowania poufności i obowiązek ochrony Informacji Poufnych wygasa po upływie </w:t>
      </w:r>
      <w:r w:rsidR="00462D91">
        <w:rPr>
          <w:rFonts w:asciiTheme="majorHAnsi" w:hAnsiTheme="majorHAnsi" w:cstheme="minorHAnsi"/>
          <w:sz w:val="22"/>
          <w:szCs w:val="22"/>
        </w:rPr>
        <w:t>10</w:t>
      </w:r>
      <w:r w:rsidR="00462D91" w:rsidRPr="00FC112D">
        <w:rPr>
          <w:rFonts w:asciiTheme="majorHAnsi" w:hAnsiTheme="majorHAnsi" w:cstheme="minorHAnsi"/>
          <w:sz w:val="22"/>
          <w:szCs w:val="22"/>
        </w:rPr>
        <w:t xml:space="preserve"> </w:t>
      </w:r>
      <w:r w:rsidRPr="00FC112D">
        <w:rPr>
          <w:rFonts w:asciiTheme="majorHAnsi" w:hAnsiTheme="majorHAnsi" w:cstheme="minorHAnsi"/>
          <w:sz w:val="22"/>
          <w:szCs w:val="22"/>
        </w:rPr>
        <w:t>lat, licząc od ujawienia Informacji Poufnych.</w:t>
      </w:r>
    </w:p>
    <w:p w14:paraId="54632415" w14:textId="31839BA3" w:rsidR="000527A8" w:rsidRPr="00FC112D" w:rsidRDefault="000527A8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Postanowienia niniejszego paragrafu nie mają zastosowania w przypadku:</w:t>
      </w:r>
    </w:p>
    <w:p w14:paraId="7A6C1F74" w14:textId="48170245" w:rsidR="000527A8" w:rsidRPr="00FC112D" w:rsidRDefault="005413B9" w:rsidP="00FC112D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gdy </w:t>
      </w:r>
      <w:r w:rsidR="000527A8" w:rsidRPr="00FC112D">
        <w:rPr>
          <w:rFonts w:asciiTheme="majorHAnsi" w:hAnsiTheme="majorHAnsi" w:cstheme="minorHAnsi"/>
          <w:sz w:val="22"/>
          <w:szCs w:val="22"/>
        </w:rPr>
        <w:t xml:space="preserve">w dniu przekazania Informacji Poufnych przez Stronę ujawniającą były </w:t>
      </w:r>
      <w:r>
        <w:rPr>
          <w:rFonts w:asciiTheme="majorHAnsi" w:hAnsiTheme="majorHAnsi" w:cstheme="minorHAnsi"/>
          <w:sz w:val="22"/>
          <w:szCs w:val="22"/>
        </w:rPr>
        <w:t xml:space="preserve">one </w:t>
      </w:r>
      <w:r w:rsidR="000527A8" w:rsidRPr="00FC112D">
        <w:rPr>
          <w:rFonts w:asciiTheme="majorHAnsi" w:hAnsiTheme="majorHAnsi" w:cstheme="minorHAnsi"/>
          <w:sz w:val="22"/>
          <w:szCs w:val="22"/>
        </w:rPr>
        <w:t>powszechnie znane;</w:t>
      </w:r>
    </w:p>
    <w:p w14:paraId="20FF9F93" w14:textId="35BEDADF" w:rsidR="000527A8" w:rsidRDefault="005413B9" w:rsidP="00FC112D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gdy </w:t>
      </w:r>
      <w:r w:rsidR="000527A8">
        <w:rPr>
          <w:rFonts w:asciiTheme="majorHAnsi" w:hAnsiTheme="majorHAnsi" w:cstheme="minorHAnsi"/>
          <w:sz w:val="22"/>
          <w:szCs w:val="22"/>
        </w:rPr>
        <w:t xml:space="preserve">Informacje Poufne </w:t>
      </w:r>
      <w:r w:rsidR="000527A8" w:rsidRPr="00FC112D">
        <w:rPr>
          <w:rFonts w:asciiTheme="majorHAnsi" w:hAnsiTheme="majorHAnsi" w:cstheme="minorHAnsi"/>
          <w:sz w:val="22"/>
          <w:szCs w:val="22"/>
        </w:rPr>
        <w:t>muszą być ujawnione zgodnie z przepisami prawa lub orzeczeniami sądów lub w związku z żądaniem upoważnionych organów państwowych, organów administracji UE, jednostek nadzoru (PCA);</w:t>
      </w:r>
    </w:p>
    <w:p w14:paraId="55AB6489" w14:textId="64E92B60" w:rsidR="000527A8" w:rsidRPr="00FC112D" w:rsidRDefault="005413B9" w:rsidP="00FC112D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gdy </w:t>
      </w:r>
      <w:r w:rsidR="000527A8">
        <w:rPr>
          <w:rFonts w:asciiTheme="majorHAnsi" w:hAnsiTheme="majorHAnsi" w:cstheme="minorHAnsi"/>
          <w:sz w:val="22"/>
          <w:szCs w:val="22"/>
        </w:rPr>
        <w:t xml:space="preserve">Informacje </w:t>
      </w:r>
      <w:r w:rsidR="008F656E">
        <w:rPr>
          <w:rFonts w:asciiTheme="majorHAnsi" w:hAnsiTheme="majorHAnsi" w:cstheme="minorHAnsi"/>
          <w:sz w:val="22"/>
          <w:szCs w:val="22"/>
        </w:rPr>
        <w:t>P</w:t>
      </w:r>
      <w:r w:rsidR="000527A8">
        <w:rPr>
          <w:rFonts w:asciiTheme="majorHAnsi" w:hAnsiTheme="majorHAnsi" w:cstheme="minorHAnsi"/>
          <w:sz w:val="22"/>
          <w:szCs w:val="22"/>
        </w:rPr>
        <w:t xml:space="preserve">oufne muszą </w:t>
      </w:r>
      <w:r w:rsidR="000527A8" w:rsidRPr="00FC112D">
        <w:rPr>
          <w:rFonts w:asciiTheme="majorHAnsi" w:hAnsiTheme="majorHAnsi" w:cstheme="minorHAnsi"/>
          <w:sz w:val="22"/>
          <w:szCs w:val="22"/>
        </w:rPr>
        <w:t xml:space="preserve">być ujawnione w celu wykonania </w:t>
      </w:r>
      <w:r w:rsidR="000527A8">
        <w:rPr>
          <w:rFonts w:asciiTheme="majorHAnsi" w:hAnsiTheme="majorHAnsi" w:cstheme="minorHAnsi"/>
          <w:sz w:val="22"/>
          <w:szCs w:val="22"/>
        </w:rPr>
        <w:t>niniejszej u</w:t>
      </w:r>
      <w:r>
        <w:rPr>
          <w:rFonts w:asciiTheme="majorHAnsi" w:hAnsiTheme="majorHAnsi" w:cstheme="minorHAnsi"/>
          <w:sz w:val="22"/>
          <w:szCs w:val="22"/>
        </w:rPr>
        <w:t>mowy z zastrzeżeniem treści ust. 10 poniżej</w:t>
      </w:r>
      <w:r w:rsidR="000527A8" w:rsidRPr="00FC112D">
        <w:rPr>
          <w:rFonts w:asciiTheme="majorHAnsi" w:hAnsiTheme="majorHAnsi" w:cstheme="minorHAnsi"/>
          <w:sz w:val="22"/>
          <w:szCs w:val="22"/>
        </w:rPr>
        <w:t>.</w:t>
      </w:r>
    </w:p>
    <w:p w14:paraId="71BBB676" w14:textId="3740F811" w:rsidR="000527A8" w:rsidRPr="00FC112D" w:rsidRDefault="000527A8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 w:rsidRPr="00FC112D">
        <w:rPr>
          <w:rFonts w:asciiTheme="majorHAnsi" w:hAnsiTheme="majorHAnsi" w:cstheme="minorHAnsi"/>
          <w:sz w:val="22"/>
          <w:szCs w:val="22"/>
        </w:rPr>
        <w:t>Stron</w:t>
      </w:r>
      <w:r w:rsidR="004A6FD8">
        <w:rPr>
          <w:rFonts w:asciiTheme="majorHAnsi" w:hAnsiTheme="majorHAnsi" w:cstheme="minorHAnsi"/>
          <w:sz w:val="22"/>
          <w:szCs w:val="22"/>
        </w:rPr>
        <w:t>y</w:t>
      </w:r>
      <w:r w:rsidRPr="00FC112D">
        <w:rPr>
          <w:rFonts w:asciiTheme="majorHAnsi" w:hAnsiTheme="majorHAnsi" w:cstheme="minorHAnsi"/>
          <w:sz w:val="22"/>
          <w:szCs w:val="22"/>
        </w:rPr>
        <w:t xml:space="preserve"> </w:t>
      </w:r>
      <w:r w:rsidR="004A6FD8">
        <w:rPr>
          <w:rFonts w:asciiTheme="majorHAnsi" w:hAnsiTheme="majorHAnsi" w:cstheme="minorHAnsi"/>
          <w:sz w:val="22"/>
          <w:szCs w:val="22"/>
        </w:rPr>
        <w:t>mogą</w:t>
      </w:r>
      <w:r>
        <w:rPr>
          <w:rFonts w:asciiTheme="majorHAnsi" w:hAnsiTheme="majorHAnsi" w:cstheme="minorHAnsi"/>
          <w:sz w:val="22"/>
          <w:szCs w:val="22"/>
        </w:rPr>
        <w:t xml:space="preserve"> wykorzystywać </w:t>
      </w:r>
      <w:r w:rsidR="008F656E">
        <w:rPr>
          <w:rFonts w:asciiTheme="majorHAnsi" w:hAnsiTheme="majorHAnsi" w:cstheme="minorHAnsi"/>
          <w:sz w:val="22"/>
          <w:szCs w:val="22"/>
        </w:rPr>
        <w:t xml:space="preserve">otrzymane </w:t>
      </w:r>
      <w:r>
        <w:rPr>
          <w:rFonts w:asciiTheme="majorHAnsi" w:hAnsiTheme="majorHAnsi" w:cstheme="minorHAnsi"/>
          <w:sz w:val="22"/>
          <w:szCs w:val="22"/>
        </w:rPr>
        <w:t>Informacje Poufne</w:t>
      </w:r>
      <w:r w:rsidRPr="00FC112D">
        <w:rPr>
          <w:rFonts w:asciiTheme="majorHAnsi" w:hAnsiTheme="majorHAnsi" w:cstheme="minorHAnsi"/>
          <w:sz w:val="22"/>
          <w:szCs w:val="22"/>
        </w:rPr>
        <w:t xml:space="preserve"> jedynie w celu wykonywania </w:t>
      </w:r>
      <w:r>
        <w:rPr>
          <w:rFonts w:asciiTheme="majorHAnsi" w:hAnsiTheme="majorHAnsi" w:cstheme="minorHAnsi"/>
          <w:sz w:val="22"/>
          <w:szCs w:val="22"/>
        </w:rPr>
        <w:t>niniejszej u</w:t>
      </w:r>
      <w:r w:rsidRPr="00FC112D">
        <w:rPr>
          <w:rFonts w:asciiTheme="majorHAnsi" w:hAnsiTheme="majorHAnsi" w:cstheme="minorHAnsi"/>
          <w:sz w:val="22"/>
          <w:szCs w:val="22"/>
        </w:rPr>
        <w:t xml:space="preserve">mowy i nie </w:t>
      </w:r>
      <w:r w:rsidR="004A6FD8">
        <w:rPr>
          <w:rFonts w:asciiTheme="majorHAnsi" w:hAnsiTheme="majorHAnsi" w:cstheme="minorHAnsi"/>
          <w:sz w:val="22"/>
          <w:szCs w:val="22"/>
        </w:rPr>
        <w:t>mogą</w:t>
      </w:r>
      <w:r w:rsidRPr="00FC112D">
        <w:rPr>
          <w:rFonts w:asciiTheme="majorHAnsi" w:hAnsiTheme="majorHAnsi" w:cstheme="minorHAnsi"/>
          <w:sz w:val="22"/>
          <w:szCs w:val="22"/>
        </w:rPr>
        <w:t xml:space="preserve"> używać ich w jakimkolwiek innym celu</w:t>
      </w:r>
      <w:r w:rsidR="005413B9">
        <w:rPr>
          <w:rFonts w:asciiTheme="majorHAnsi" w:hAnsiTheme="majorHAnsi" w:cstheme="minorHAnsi"/>
          <w:sz w:val="22"/>
          <w:szCs w:val="22"/>
        </w:rPr>
        <w:t>.</w:t>
      </w:r>
    </w:p>
    <w:p w14:paraId="4B1B3917" w14:textId="27E0EBB7" w:rsidR="000527A8" w:rsidRPr="00A520FF" w:rsidRDefault="004A6FD8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PCBC</w:t>
      </w:r>
      <w:r w:rsidR="000527A8" w:rsidRPr="00FC112D">
        <w:rPr>
          <w:rFonts w:asciiTheme="majorHAnsi" w:hAnsiTheme="majorHAnsi" w:cstheme="minorHAnsi"/>
          <w:sz w:val="22"/>
          <w:szCs w:val="22"/>
        </w:rPr>
        <w:t xml:space="preserve"> może ujawnić Informacje Poufne jedynie tym </w:t>
      </w:r>
      <w:r w:rsidR="000527A8">
        <w:rPr>
          <w:rFonts w:asciiTheme="majorHAnsi" w:hAnsiTheme="majorHAnsi" w:cstheme="minorHAnsi"/>
          <w:sz w:val="22"/>
          <w:szCs w:val="22"/>
        </w:rPr>
        <w:t xml:space="preserve">swoim (odpowiednio) </w:t>
      </w:r>
      <w:r w:rsidR="000527A8" w:rsidRPr="00A520FF">
        <w:rPr>
          <w:rFonts w:asciiTheme="majorHAnsi" w:hAnsiTheme="majorHAnsi" w:cstheme="minorHAnsi"/>
          <w:sz w:val="22"/>
          <w:szCs w:val="22"/>
        </w:rPr>
        <w:t>pracownikom/ auditorom/ekspertom</w:t>
      </w:r>
      <w:r w:rsidR="000527A8">
        <w:rPr>
          <w:rFonts w:asciiTheme="majorHAnsi" w:hAnsiTheme="majorHAnsi" w:cstheme="minorHAnsi"/>
          <w:sz w:val="22"/>
          <w:szCs w:val="22"/>
        </w:rPr>
        <w:t>/podwykonawcom</w:t>
      </w:r>
      <w:r w:rsidR="000527A8" w:rsidRPr="00A520FF">
        <w:rPr>
          <w:rFonts w:asciiTheme="majorHAnsi" w:hAnsiTheme="majorHAnsi" w:cstheme="minorHAnsi"/>
          <w:sz w:val="22"/>
          <w:szCs w:val="22"/>
        </w:rPr>
        <w:t xml:space="preserve">, którzy są bezpośrednio zaangażowani w wykonywanie </w:t>
      </w:r>
      <w:r w:rsidR="000527A8">
        <w:rPr>
          <w:rFonts w:asciiTheme="majorHAnsi" w:hAnsiTheme="majorHAnsi" w:cstheme="minorHAnsi"/>
          <w:sz w:val="22"/>
          <w:szCs w:val="22"/>
        </w:rPr>
        <w:t>niniejszej u</w:t>
      </w:r>
      <w:r w:rsidR="000527A8" w:rsidRPr="005413B9">
        <w:rPr>
          <w:rFonts w:asciiTheme="majorHAnsi" w:hAnsiTheme="majorHAnsi" w:cstheme="minorHAnsi"/>
          <w:sz w:val="22"/>
          <w:szCs w:val="22"/>
        </w:rPr>
        <w:t xml:space="preserve">mowy i tylko w takim zakresie, jaki jest niezbędny do jej wykonania oraz pod warunkiem, że osoby te </w:t>
      </w:r>
      <w:r w:rsidR="000527A8">
        <w:rPr>
          <w:rFonts w:asciiTheme="majorHAnsi" w:hAnsiTheme="majorHAnsi" w:cstheme="minorHAnsi"/>
          <w:sz w:val="22"/>
          <w:szCs w:val="22"/>
        </w:rPr>
        <w:t>zobowiążą się do zachowania poufności zgodnie z postanowieniami niniejszego paragrafu.</w:t>
      </w:r>
      <w:r w:rsidR="00F24627">
        <w:rPr>
          <w:rFonts w:asciiTheme="majorHAnsi" w:hAnsiTheme="majorHAnsi" w:cstheme="minorHAnsi"/>
          <w:sz w:val="22"/>
          <w:szCs w:val="22"/>
        </w:rPr>
        <w:t xml:space="preserve"> Niezależnie od powyższego PCBC może ujawnić Informacje Poufne </w:t>
      </w:r>
      <w:r w:rsidR="00F24627" w:rsidRPr="00FC112D">
        <w:rPr>
          <w:rFonts w:asciiTheme="majorHAnsi" w:hAnsiTheme="majorHAnsi" w:cstheme="minorHAnsi"/>
          <w:sz w:val="22"/>
          <w:szCs w:val="22"/>
        </w:rPr>
        <w:t>organ</w:t>
      </w:r>
      <w:r w:rsidR="00F24627">
        <w:rPr>
          <w:rFonts w:asciiTheme="majorHAnsi" w:hAnsiTheme="majorHAnsi" w:cstheme="minorHAnsi"/>
          <w:sz w:val="22"/>
          <w:szCs w:val="22"/>
        </w:rPr>
        <w:t>om</w:t>
      </w:r>
      <w:r w:rsidR="00F24627" w:rsidRPr="00FC112D">
        <w:rPr>
          <w:rFonts w:asciiTheme="majorHAnsi" w:hAnsiTheme="majorHAnsi" w:cstheme="minorHAnsi"/>
          <w:sz w:val="22"/>
          <w:szCs w:val="22"/>
        </w:rPr>
        <w:t xml:space="preserve"> państwowy</w:t>
      </w:r>
      <w:r w:rsidR="00F24627">
        <w:rPr>
          <w:rFonts w:asciiTheme="majorHAnsi" w:hAnsiTheme="majorHAnsi" w:cstheme="minorHAnsi"/>
          <w:sz w:val="22"/>
          <w:szCs w:val="22"/>
        </w:rPr>
        <w:t>m</w:t>
      </w:r>
      <w:r w:rsidR="00F24627" w:rsidRPr="00FC112D">
        <w:rPr>
          <w:rFonts w:asciiTheme="majorHAnsi" w:hAnsiTheme="majorHAnsi" w:cstheme="minorHAnsi"/>
          <w:sz w:val="22"/>
          <w:szCs w:val="22"/>
        </w:rPr>
        <w:t>, organ</w:t>
      </w:r>
      <w:r w:rsidR="00F24627">
        <w:rPr>
          <w:rFonts w:asciiTheme="majorHAnsi" w:hAnsiTheme="majorHAnsi" w:cstheme="minorHAnsi"/>
          <w:sz w:val="22"/>
          <w:szCs w:val="22"/>
        </w:rPr>
        <w:t>om</w:t>
      </w:r>
      <w:r w:rsidR="00F24627" w:rsidRPr="00FC112D">
        <w:rPr>
          <w:rFonts w:asciiTheme="majorHAnsi" w:hAnsiTheme="majorHAnsi" w:cstheme="minorHAnsi"/>
          <w:sz w:val="22"/>
          <w:szCs w:val="22"/>
        </w:rPr>
        <w:t xml:space="preserve"> administracji UE</w:t>
      </w:r>
      <w:r w:rsidR="00F24627">
        <w:rPr>
          <w:rFonts w:asciiTheme="majorHAnsi" w:hAnsiTheme="majorHAnsi" w:cstheme="minorHAnsi"/>
          <w:sz w:val="22"/>
          <w:szCs w:val="22"/>
        </w:rPr>
        <w:t xml:space="preserve"> lub </w:t>
      </w:r>
      <w:r w:rsidR="00F24627" w:rsidRPr="00FC112D">
        <w:rPr>
          <w:rFonts w:asciiTheme="majorHAnsi" w:hAnsiTheme="majorHAnsi" w:cstheme="minorHAnsi"/>
          <w:sz w:val="22"/>
          <w:szCs w:val="22"/>
        </w:rPr>
        <w:t>jednost</w:t>
      </w:r>
      <w:r w:rsidR="00F24627">
        <w:rPr>
          <w:rFonts w:asciiTheme="majorHAnsi" w:hAnsiTheme="majorHAnsi" w:cstheme="minorHAnsi"/>
          <w:sz w:val="22"/>
          <w:szCs w:val="22"/>
        </w:rPr>
        <w:t>kom</w:t>
      </w:r>
      <w:r w:rsidR="00F24627" w:rsidRPr="00FC112D">
        <w:rPr>
          <w:rFonts w:asciiTheme="majorHAnsi" w:hAnsiTheme="majorHAnsi" w:cstheme="minorHAnsi"/>
          <w:sz w:val="22"/>
          <w:szCs w:val="22"/>
        </w:rPr>
        <w:t xml:space="preserve"> nadzoru (PCA)</w:t>
      </w:r>
      <w:r w:rsidR="00F24627">
        <w:rPr>
          <w:rFonts w:asciiTheme="majorHAnsi" w:hAnsiTheme="majorHAnsi" w:cstheme="minorHAnsi"/>
          <w:sz w:val="22"/>
          <w:szCs w:val="22"/>
        </w:rPr>
        <w:t>.</w:t>
      </w:r>
    </w:p>
    <w:p w14:paraId="5777CB6A" w14:textId="77777777" w:rsidR="005B6874" w:rsidRDefault="0081007C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 w:rsidRPr="00A520FF">
        <w:rPr>
          <w:rFonts w:asciiTheme="majorHAnsi" w:hAnsiTheme="majorHAnsi" w:cstheme="minorHAnsi"/>
          <w:sz w:val="22"/>
          <w:szCs w:val="22"/>
        </w:rPr>
        <w:t xml:space="preserve">Strona zobowiązuje się niezwłocznie, </w:t>
      </w:r>
      <w:r w:rsidR="005413B9">
        <w:rPr>
          <w:rFonts w:asciiTheme="majorHAnsi" w:hAnsiTheme="majorHAnsi" w:cstheme="minorHAnsi"/>
          <w:sz w:val="22"/>
          <w:szCs w:val="22"/>
        </w:rPr>
        <w:t xml:space="preserve">a </w:t>
      </w:r>
      <w:r w:rsidRPr="00A520FF">
        <w:rPr>
          <w:rFonts w:asciiTheme="majorHAnsi" w:hAnsiTheme="majorHAnsi" w:cstheme="minorHAnsi"/>
          <w:sz w:val="22"/>
          <w:szCs w:val="22"/>
        </w:rPr>
        <w:t xml:space="preserve">w każdym razie nie później niż w terminie 7 dni od dnia otrzymania żądania </w:t>
      </w:r>
      <w:r w:rsidR="008F656E">
        <w:rPr>
          <w:rFonts w:asciiTheme="majorHAnsi" w:hAnsiTheme="majorHAnsi" w:cstheme="minorHAnsi"/>
          <w:sz w:val="22"/>
          <w:szCs w:val="22"/>
        </w:rPr>
        <w:t xml:space="preserve">drugiej </w:t>
      </w:r>
      <w:r w:rsidRPr="00A520FF">
        <w:rPr>
          <w:rFonts w:asciiTheme="majorHAnsi" w:hAnsiTheme="majorHAnsi" w:cstheme="minorHAnsi"/>
          <w:sz w:val="22"/>
          <w:szCs w:val="22"/>
        </w:rPr>
        <w:t>Strony, do zniszczenia (odpowiednio usunięcia) lub zwrócenia (według wyboru Strony) wszelkich materiałów (odpowiednio plików zawierających Informacje Poufne, będących w posiadani</w:t>
      </w:r>
      <w:r w:rsidR="005413B9">
        <w:rPr>
          <w:rFonts w:asciiTheme="majorHAnsi" w:hAnsiTheme="majorHAnsi" w:cstheme="minorHAnsi"/>
          <w:sz w:val="22"/>
          <w:szCs w:val="22"/>
        </w:rPr>
        <w:t>u</w:t>
      </w:r>
      <w:r w:rsidRPr="00A520FF">
        <w:rPr>
          <w:rFonts w:asciiTheme="majorHAnsi" w:hAnsiTheme="majorHAnsi" w:cstheme="minorHAnsi"/>
          <w:sz w:val="22"/>
          <w:szCs w:val="22"/>
        </w:rPr>
        <w:t xml:space="preserve"> </w:t>
      </w:r>
      <w:r w:rsidR="005413B9" w:rsidRPr="005413B9">
        <w:rPr>
          <w:rFonts w:asciiTheme="majorHAnsi" w:hAnsiTheme="majorHAnsi" w:cstheme="minorHAnsi"/>
          <w:sz w:val="22"/>
          <w:szCs w:val="22"/>
        </w:rPr>
        <w:t>Strony</w:t>
      </w:r>
      <w:r w:rsidR="008F656E">
        <w:rPr>
          <w:rFonts w:asciiTheme="majorHAnsi" w:hAnsiTheme="majorHAnsi" w:cstheme="minorHAnsi"/>
          <w:sz w:val="22"/>
          <w:szCs w:val="22"/>
        </w:rPr>
        <w:t>)</w:t>
      </w:r>
      <w:r w:rsidRPr="00A520FF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414B5B6C" w14:textId="2DCD8DBC" w:rsidR="0081007C" w:rsidRDefault="0081007C" w:rsidP="005B6874">
      <w:pPr>
        <w:pStyle w:val="Akapitzlist"/>
        <w:widowControl w:val="0"/>
        <w:spacing w:beforeLines="20" w:before="48"/>
        <w:ind w:left="709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 w:rsidRPr="00A520FF">
        <w:rPr>
          <w:rFonts w:asciiTheme="majorHAnsi" w:hAnsiTheme="majorHAnsi" w:cstheme="minorHAnsi"/>
          <w:sz w:val="22"/>
          <w:szCs w:val="22"/>
        </w:rPr>
        <w:t>Powyższy obowiązek nie dotyczy</w:t>
      </w:r>
      <w:r w:rsidR="000527A8" w:rsidRPr="000527A8">
        <w:rPr>
          <w:rFonts w:asciiTheme="majorHAnsi" w:hAnsiTheme="majorHAnsi" w:cstheme="minorHAnsi"/>
          <w:sz w:val="22"/>
          <w:szCs w:val="22"/>
        </w:rPr>
        <w:t xml:space="preserve"> </w:t>
      </w:r>
      <w:r w:rsidRPr="00FC112D">
        <w:rPr>
          <w:rFonts w:asciiTheme="majorHAnsi" w:hAnsiTheme="majorHAnsi" w:cstheme="minorHAnsi"/>
          <w:sz w:val="22"/>
          <w:szCs w:val="22"/>
        </w:rPr>
        <w:t xml:space="preserve">Informacji Poufnych, które Strona </w:t>
      </w:r>
      <w:r w:rsidR="008F656E">
        <w:rPr>
          <w:rFonts w:asciiTheme="majorHAnsi" w:hAnsiTheme="majorHAnsi" w:cstheme="minorHAnsi"/>
          <w:sz w:val="22"/>
          <w:szCs w:val="22"/>
        </w:rPr>
        <w:t xml:space="preserve">ma obowiązek przechowywać </w:t>
      </w:r>
      <w:r w:rsidR="00F24627">
        <w:rPr>
          <w:rFonts w:asciiTheme="majorHAnsi" w:hAnsiTheme="majorHAnsi" w:cstheme="minorHAnsi"/>
          <w:sz w:val="22"/>
          <w:szCs w:val="22"/>
        </w:rPr>
        <w:t xml:space="preserve">lub ujawniać </w:t>
      </w:r>
      <w:r w:rsidRPr="00FC112D">
        <w:rPr>
          <w:rFonts w:asciiTheme="majorHAnsi" w:hAnsiTheme="majorHAnsi" w:cstheme="minorHAnsi"/>
          <w:sz w:val="22"/>
          <w:szCs w:val="22"/>
        </w:rPr>
        <w:t xml:space="preserve">zgodnie z obowiązkiem wynikającym z powszechnie obowiązujących przepisów prawa, orzeczenia sądu lub </w:t>
      </w:r>
      <w:r w:rsidR="005B6874">
        <w:rPr>
          <w:rFonts w:asciiTheme="majorHAnsi" w:hAnsiTheme="majorHAnsi" w:cstheme="minorHAnsi"/>
          <w:sz w:val="22"/>
          <w:szCs w:val="22"/>
        </w:rPr>
        <w:t xml:space="preserve">ujawniać na wniosek </w:t>
      </w:r>
      <w:r w:rsidRPr="00FC112D">
        <w:rPr>
          <w:rFonts w:asciiTheme="majorHAnsi" w:hAnsiTheme="majorHAnsi" w:cstheme="minorHAnsi"/>
          <w:sz w:val="22"/>
          <w:szCs w:val="22"/>
        </w:rPr>
        <w:t>uprawnionego organu administracji państwowej, organów administracji UE, jednostek nadzoru (PCA)</w:t>
      </w:r>
      <w:r w:rsidR="005413B9">
        <w:rPr>
          <w:rFonts w:asciiTheme="majorHAnsi" w:hAnsiTheme="majorHAnsi" w:cstheme="minorHAnsi"/>
          <w:sz w:val="22"/>
          <w:szCs w:val="22"/>
        </w:rPr>
        <w:t xml:space="preserve">, w tym w </w:t>
      </w:r>
      <w:r w:rsidR="000527A8">
        <w:rPr>
          <w:rFonts w:asciiTheme="majorHAnsi" w:hAnsiTheme="majorHAnsi" w:cstheme="minorHAnsi"/>
          <w:sz w:val="22"/>
          <w:szCs w:val="22"/>
        </w:rPr>
        <w:t>przypadku gdy zostały one utrwalone w formie elektronicznej</w:t>
      </w:r>
      <w:r w:rsidRPr="00FC112D">
        <w:rPr>
          <w:rFonts w:asciiTheme="majorHAnsi" w:hAnsiTheme="majorHAnsi" w:cstheme="minorHAnsi"/>
          <w:sz w:val="22"/>
          <w:szCs w:val="22"/>
        </w:rPr>
        <w:t xml:space="preserve">.  </w:t>
      </w:r>
    </w:p>
    <w:p w14:paraId="23644E4E" w14:textId="60F5CF04" w:rsidR="000527A8" w:rsidRPr="00FC112D" w:rsidRDefault="000527A8" w:rsidP="00FC112D">
      <w:pPr>
        <w:pStyle w:val="Akapitzlist"/>
        <w:widowControl w:val="0"/>
        <w:numPr>
          <w:ilvl w:val="3"/>
          <w:numId w:val="39"/>
        </w:numPr>
        <w:spacing w:beforeLines="20" w:before="48"/>
        <w:ind w:left="709" w:hanging="851"/>
        <w:jc w:val="both"/>
        <w:outlineLvl w:val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Każda ze Stron</w:t>
      </w:r>
      <w:r w:rsidR="0081007C" w:rsidRPr="00FC112D">
        <w:rPr>
          <w:rFonts w:asciiTheme="majorHAnsi" w:hAnsiTheme="majorHAnsi" w:cstheme="minorHAnsi"/>
          <w:sz w:val="22"/>
          <w:szCs w:val="22"/>
        </w:rPr>
        <w:t xml:space="preserve"> zobowiązuj</w:t>
      </w:r>
      <w:r>
        <w:rPr>
          <w:rFonts w:asciiTheme="majorHAnsi" w:hAnsiTheme="majorHAnsi" w:cstheme="minorHAnsi"/>
          <w:sz w:val="22"/>
          <w:szCs w:val="22"/>
        </w:rPr>
        <w:t>e</w:t>
      </w:r>
      <w:r w:rsidR="0081007C" w:rsidRPr="00FC112D">
        <w:rPr>
          <w:rFonts w:asciiTheme="majorHAnsi" w:hAnsiTheme="majorHAnsi" w:cstheme="minorHAnsi"/>
          <w:sz w:val="22"/>
          <w:szCs w:val="22"/>
        </w:rPr>
        <w:t xml:space="preserve"> się do zapewnienia odpowiednich warunków przechowywania wszelkich Informacji Poufnych niezależnie, czy te Informacje Poufne wyrażone zostaną w formie niematerialnej</w:t>
      </w:r>
      <w:r w:rsidR="005413B9">
        <w:rPr>
          <w:rFonts w:asciiTheme="majorHAnsi" w:hAnsiTheme="majorHAnsi" w:cstheme="minorHAnsi"/>
          <w:sz w:val="22"/>
          <w:szCs w:val="22"/>
        </w:rPr>
        <w:t>,</w:t>
      </w:r>
      <w:r w:rsidR="0081007C" w:rsidRPr="00FC112D">
        <w:rPr>
          <w:rFonts w:asciiTheme="majorHAnsi" w:hAnsiTheme="majorHAnsi" w:cstheme="minorHAnsi"/>
          <w:sz w:val="22"/>
          <w:szCs w:val="22"/>
        </w:rPr>
        <w:t xml:space="preserve"> </w:t>
      </w:r>
      <w:r w:rsidR="005413B9">
        <w:rPr>
          <w:rFonts w:asciiTheme="majorHAnsi" w:hAnsiTheme="majorHAnsi" w:cstheme="minorHAnsi"/>
          <w:sz w:val="22"/>
          <w:szCs w:val="22"/>
        </w:rPr>
        <w:t>czy materialnej</w:t>
      </w:r>
      <w:r w:rsidR="0081007C" w:rsidRPr="00FC112D">
        <w:rPr>
          <w:rFonts w:asciiTheme="majorHAnsi" w:hAnsiTheme="majorHAnsi" w:cstheme="minorHAnsi"/>
          <w:sz w:val="22"/>
          <w:szCs w:val="22"/>
        </w:rPr>
        <w:t>, w sposób uniemożliwiający dostęp do nich osób niepowołanych</w:t>
      </w:r>
      <w:r w:rsidRPr="00FC112D">
        <w:rPr>
          <w:rFonts w:asciiTheme="majorHAnsi" w:hAnsiTheme="majorHAnsi" w:cstheme="minorHAnsi"/>
          <w:sz w:val="22"/>
          <w:szCs w:val="22"/>
        </w:rPr>
        <w:t xml:space="preserve">. </w:t>
      </w:r>
      <w:r w:rsidR="00D24998">
        <w:rPr>
          <w:rFonts w:asciiTheme="majorHAnsi" w:hAnsiTheme="majorHAnsi" w:cstheme="minorHAnsi"/>
          <w:sz w:val="22"/>
          <w:szCs w:val="22"/>
        </w:rPr>
        <w:br/>
      </w:r>
      <w:r w:rsidRPr="00FC112D">
        <w:rPr>
          <w:rFonts w:asciiTheme="majorHAnsi" w:hAnsiTheme="majorHAnsi" w:cstheme="minorHAnsi"/>
          <w:sz w:val="22"/>
          <w:szCs w:val="22"/>
        </w:rPr>
        <w:t>W szczególności Strony zobowiązane są dołożyć wszelkich starań w celu zapewnienia, aby środki łączności wykorzystywane przez nie do odbioru oraz przekazywania Informacji Poufnych gwarantowały zabezpieczenie tych informacji przed dostępem osób nieuprawionych.</w:t>
      </w:r>
    </w:p>
    <w:p w14:paraId="0ED24B70" w14:textId="77777777" w:rsidR="00156965" w:rsidRPr="00FC112D" w:rsidRDefault="00156965" w:rsidP="00FC112D">
      <w:pPr>
        <w:pStyle w:val="Akapitzlist"/>
        <w:widowControl w:val="0"/>
        <w:spacing w:beforeLines="20" w:before="48"/>
        <w:ind w:left="709"/>
        <w:jc w:val="both"/>
        <w:outlineLvl w:val="0"/>
        <w:rPr>
          <w:rFonts w:asciiTheme="majorHAnsi" w:hAnsiTheme="majorHAnsi" w:cstheme="minorHAnsi"/>
          <w:sz w:val="22"/>
          <w:szCs w:val="22"/>
        </w:rPr>
      </w:pPr>
    </w:p>
    <w:p w14:paraId="5C37DA20" w14:textId="57E28812" w:rsidR="00655579" w:rsidRDefault="00624CE6" w:rsidP="00454F09">
      <w:pPr>
        <w:pStyle w:val="Nagwek1"/>
        <w:keepNext w:val="0"/>
        <w:widowControl w:val="0"/>
        <w:spacing w:beforeLines="20" w:before="48" w:afterLines="20" w:after="48"/>
        <w:ind w:left="426" w:hanging="426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§ 11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Postanowienia końcowe</w:t>
      </w:r>
    </w:p>
    <w:p w14:paraId="23DD0D16" w14:textId="77777777" w:rsidR="00624CE6" w:rsidRPr="00FC112D" w:rsidRDefault="00624CE6" w:rsidP="00FC112D"/>
    <w:p w14:paraId="57B83E9E" w14:textId="2290D1B2" w:rsidR="00AE6E3F" w:rsidRPr="00512B67" w:rsidRDefault="00655579" w:rsidP="00624CE6">
      <w:pPr>
        <w:widowControl w:val="0"/>
        <w:numPr>
          <w:ilvl w:val="0"/>
          <w:numId w:val="2"/>
        </w:numPr>
        <w:tabs>
          <w:tab w:val="clear" w:pos="360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Niniejsza </w:t>
      </w:r>
      <w:r w:rsidR="00624CE6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624CE6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mowa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obowiązuje od dnia jej </w:t>
      </w:r>
      <w:r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zawarcia </w:t>
      </w:r>
      <w:r w:rsidR="00684BC5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7C0A37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końca ważności </w:t>
      </w:r>
      <w:r w:rsidR="0035298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wszystkich </w:t>
      </w:r>
      <w:r w:rsidR="00624CE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Certyfikat</w:t>
      </w:r>
      <w:r w:rsidR="00E84C89">
        <w:rPr>
          <w:rFonts w:asciiTheme="majorHAnsi" w:hAnsiTheme="majorHAnsi" w:cstheme="majorHAnsi"/>
          <w:color w:val="000000" w:themeColor="text1"/>
          <w:sz w:val="22"/>
          <w:szCs w:val="22"/>
        </w:rPr>
        <w:t>ów</w:t>
      </w:r>
      <w:r w:rsidR="00624CE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wystawion</w:t>
      </w:r>
      <w:r w:rsidR="00E84C89">
        <w:rPr>
          <w:rFonts w:asciiTheme="majorHAnsi" w:hAnsiTheme="majorHAnsi" w:cstheme="majorHAnsi"/>
          <w:color w:val="000000" w:themeColor="text1"/>
          <w:sz w:val="22"/>
          <w:szCs w:val="22"/>
        </w:rPr>
        <w:t>ych</w:t>
      </w:r>
      <w:r w:rsidR="00624CE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5298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postawie </w:t>
      </w:r>
      <w:r w:rsidR="00624CE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niniejszej </w:t>
      </w:r>
      <w:r w:rsidR="0035298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umowy</w:t>
      </w:r>
      <w:r w:rsidR="00AE6E3F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z tym że za dzień zawarcia </w:t>
      </w:r>
      <w:r w:rsidR="00624CE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niniejszej </w:t>
      </w:r>
      <w:r w:rsidR="00AE6E3F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umowy uznaje się dzień podpisania niniejszej umowy przez PCBC.</w:t>
      </w:r>
    </w:p>
    <w:p w14:paraId="1C7DBA94" w14:textId="02FCBB83" w:rsidR="00AE6E3F" w:rsidRPr="00512B67" w:rsidRDefault="00AE6E3F" w:rsidP="00FC112D">
      <w:pPr>
        <w:widowControl w:val="0"/>
        <w:numPr>
          <w:ilvl w:val="0"/>
          <w:numId w:val="2"/>
        </w:numPr>
        <w:tabs>
          <w:tab w:val="clear" w:pos="360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przystępuje do wykonania przedmiotu niniejszej umowy po spełnieniu warunków określonych w § 2 </w:t>
      </w:r>
      <w:r w:rsidR="00394748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ust. </w:t>
      </w:r>
      <w:r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5.</w:t>
      </w:r>
    </w:p>
    <w:p w14:paraId="3B7F0F59" w14:textId="77777777" w:rsidR="00A520FF" w:rsidRDefault="007C0A37" w:rsidP="00FC112D">
      <w:pPr>
        <w:widowControl w:val="0"/>
        <w:numPr>
          <w:ilvl w:val="0"/>
          <w:numId w:val="2"/>
        </w:numPr>
        <w:tabs>
          <w:tab w:val="clear" w:pos="360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</w:t>
      </w:r>
      <w:r w:rsidR="00684BC5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przypadku wygaśnięcia lub cofnięcia </w:t>
      </w:r>
      <w:r w:rsidR="00624CE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684BC5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ertyfikat</w:t>
      </w:r>
      <w:r w:rsidR="00624CE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BC666E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24CE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wystawionego </w:t>
      </w:r>
      <w:r w:rsidR="00BC666E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postawie </w:t>
      </w:r>
      <w:r w:rsidR="00624CE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niniejszej </w:t>
      </w:r>
      <w:r w:rsidR="00BC666E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umowy</w:t>
      </w:r>
      <w:r w:rsidR="00684BC5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624CE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niniejsza </w:t>
      </w:r>
      <w:r w:rsidR="00684BC5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umowa rozwiąz</w:t>
      </w:r>
      <w:r w:rsidR="00624CE6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uje się odpowiednio: </w:t>
      </w:r>
    </w:p>
    <w:p w14:paraId="7DD49E1F" w14:textId="77777777" w:rsidR="00A520FF" w:rsidRDefault="00624CE6" w:rsidP="00A520FF">
      <w:pPr>
        <w:pStyle w:val="Akapitzlist"/>
        <w:widowControl w:val="0"/>
        <w:numPr>
          <w:ilvl w:val="0"/>
          <w:numId w:val="53"/>
        </w:numPr>
        <w:spacing w:beforeLines="20" w:before="48" w:afterLines="20" w:after="4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520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dniem wygaśnięcia Certyfikatu lub </w:t>
      </w:r>
    </w:p>
    <w:p w14:paraId="7F1986B7" w14:textId="236EB511" w:rsidR="00A520FF" w:rsidRPr="00A520FF" w:rsidRDefault="00624CE6" w:rsidP="00A520FF">
      <w:pPr>
        <w:pStyle w:val="Akapitzlist"/>
        <w:widowControl w:val="0"/>
        <w:numPr>
          <w:ilvl w:val="0"/>
          <w:numId w:val="53"/>
        </w:numPr>
        <w:spacing w:beforeLines="20" w:before="48" w:afterLines="20" w:after="4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520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dniem doręczenia Producentowi decyzji PCBC o cofnięciu Certyfikatu zgodnie z </w:t>
      </w:r>
      <w:r w:rsidR="00E84C8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§ </w:t>
      </w:r>
      <w:r w:rsidRPr="00A520FF">
        <w:rPr>
          <w:rFonts w:asciiTheme="majorHAnsi" w:hAnsiTheme="majorHAnsi" w:cstheme="majorHAnsi"/>
          <w:color w:val="000000" w:themeColor="text1"/>
          <w:sz w:val="22"/>
          <w:szCs w:val="22"/>
        </w:rPr>
        <w:t>8 ust. 1 pkt 1.3</w:t>
      </w:r>
      <w:r w:rsidR="00684BC5" w:rsidRPr="00A520F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512B67" w:rsidRPr="00A520FF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</w:p>
    <w:p w14:paraId="65B7DC2F" w14:textId="0C6E1009" w:rsidR="00337E50" w:rsidRPr="00A520FF" w:rsidRDefault="00512B67" w:rsidP="00A520FF">
      <w:pPr>
        <w:widowControl w:val="0"/>
        <w:spacing w:beforeLines="20" w:before="48" w:afterLines="20" w:after="48"/>
        <w:ind w:left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520FF">
        <w:rPr>
          <w:rFonts w:asciiTheme="majorHAnsi" w:hAnsiTheme="majorHAnsi" w:cstheme="minorHAnsi"/>
          <w:color w:val="000000"/>
          <w:sz w:val="22"/>
          <w:szCs w:val="22"/>
        </w:rPr>
        <w:lastRenderedPageBreak/>
        <w:t>W taki</w:t>
      </w:r>
      <w:r w:rsidR="00A520FF">
        <w:rPr>
          <w:rFonts w:asciiTheme="majorHAnsi" w:hAnsiTheme="majorHAnsi" w:cstheme="minorHAnsi"/>
          <w:color w:val="000000"/>
          <w:sz w:val="22"/>
          <w:szCs w:val="22"/>
        </w:rPr>
        <w:t>ch</w:t>
      </w:r>
      <w:r w:rsidRPr="00A520FF">
        <w:rPr>
          <w:rFonts w:asciiTheme="majorHAnsi" w:hAnsiTheme="majorHAnsi" w:cstheme="minorHAnsi"/>
          <w:color w:val="000000"/>
          <w:sz w:val="22"/>
          <w:szCs w:val="22"/>
        </w:rPr>
        <w:t xml:space="preserve"> przypadk</w:t>
      </w:r>
      <w:r w:rsidR="00A520FF">
        <w:rPr>
          <w:rFonts w:asciiTheme="majorHAnsi" w:hAnsiTheme="majorHAnsi" w:cstheme="minorHAnsi"/>
          <w:color w:val="000000"/>
          <w:sz w:val="22"/>
          <w:szCs w:val="22"/>
        </w:rPr>
        <w:t>ach</w:t>
      </w:r>
      <w:r w:rsidRPr="00A520FF">
        <w:rPr>
          <w:rFonts w:asciiTheme="majorHAnsi" w:hAnsiTheme="majorHAnsi" w:cstheme="minorHAnsi"/>
          <w:color w:val="000000"/>
          <w:sz w:val="22"/>
          <w:szCs w:val="22"/>
        </w:rPr>
        <w:t xml:space="preserve"> postanowienia ust. 7 stosuje się odpowiednio, z tym zastrzeżeniem, że datą przerwania czynności PCBC jest dzień rozwiązania niniejszej umowy. </w:t>
      </w:r>
    </w:p>
    <w:p w14:paraId="19493408" w14:textId="61EEB7EE" w:rsidR="00FD7160" w:rsidRPr="00512B67" w:rsidRDefault="00624CE6" w:rsidP="00624CE6">
      <w:pPr>
        <w:widowControl w:val="0"/>
        <w:numPr>
          <w:ilvl w:val="0"/>
          <w:numId w:val="2"/>
        </w:numPr>
        <w:tabs>
          <w:tab w:val="clear" w:pos="360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Niniejsza umowa </w:t>
      </w:r>
      <w:r w:rsidR="00655579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może być rozwiązana</w:t>
      </w:r>
      <w:r w:rsidR="0013076D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655579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46AE3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niezależnie od przyczyny</w:t>
      </w:r>
      <w:r w:rsidR="0013076D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B46AE3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5579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prze</w:t>
      </w:r>
      <w:r w:rsidR="00E95491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każdą ze stron </w:t>
      </w:r>
      <w:r w:rsidR="00E84C89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E95491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z zachowaniem 1</w:t>
      </w:r>
      <w:r w:rsidR="00655579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-miesięczne</w:t>
      </w:r>
      <w:r w:rsidR="00337E50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go okresu wypowiedzenia,</w:t>
      </w:r>
      <w:r w:rsidR="00B46AE3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który biegnie</w:t>
      </w:r>
      <w:r w:rsidR="00337E50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licząc </w:t>
      </w:r>
      <w:r w:rsidR="00655579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od pier</w:t>
      </w:r>
      <w:r w:rsidR="00E95491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wszego dnia następnego miesiąca po miesiącu, w którym dokonano </w:t>
      </w:r>
      <w:r w:rsidR="008B4A61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>wypowiedzenia.</w:t>
      </w:r>
      <w:r w:rsidR="00655579" w:rsidRPr="00512B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8B49B9B" w14:textId="3EAA6937" w:rsidR="00EE674A" w:rsidRPr="00512B67" w:rsidRDefault="00394748" w:rsidP="00FC112D">
      <w:pPr>
        <w:widowControl w:val="0"/>
        <w:numPr>
          <w:ilvl w:val="0"/>
          <w:numId w:val="2"/>
        </w:numPr>
        <w:tabs>
          <w:tab w:val="clear" w:pos="360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sz w:val="22"/>
          <w:szCs w:val="22"/>
        </w:rPr>
      </w:pPr>
      <w:r w:rsidRPr="00FC112D">
        <w:rPr>
          <w:rFonts w:asciiTheme="majorHAnsi" w:hAnsiTheme="majorHAnsi" w:cstheme="majorHAnsi"/>
          <w:sz w:val="22"/>
          <w:szCs w:val="22"/>
        </w:rPr>
        <w:t xml:space="preserve">Rozwiązanie </w:t>
      </w:r>
      <w:r w:rsidR="0013076D" w:rsidRPr="00FC112D">
        <w:rPr>
          <w:rFonts w:asciiTheme="majorHAnsi" w:hAnsiTheme="majorHAnsi" w:cstheme="majorHAnsi"/>
          <w:sz w:val="22"/>
          <w:szCs w:val="22"/>
        </w:rPr>
        <w:t xml:space="preserve">niniejszej umowy </w:t>
      </w:r>
      <w:r w:rsidR="007D6AF4" w:rsidRPr="00FC112D">
        <w:rPr>
          <w:rFonts w:asciiTheme="majorHAnsi" w:hAnsiTheme="majorHAnsi" w:cstheme="majorHAnsi"/>
          <w:sz w:val="22"/>
          <w:szCs w:val="22"/>
        </w:rPr>
        <w:t>(w tym wskutek jej wypowiedzenia lub rozwiązania</w:t>
      </w:r>
      <w:r w:rsidR="0013076D" w:rsidRPr="00FC112D">
        <w:rPr>
          <w:rFonts w:asciiTheme="majorHAnsi" w:hAnsiTheme="majorHAnsi" w:cstheme="majorHAnsi"/>
          <w:sz w:val="22"/>
          <w:szCs w:val="22"/>
        </w:rPr>
        <w:t xml:space="preserve"> za porozumieniem Stron</w:t>
      </w:r>
      <w:r w:rsidR="007D6AF4" w:rsidRPr="00FC112D">
        <w:rPr>
          <w:rFonts w:asciiTheme="majorHAnsi" w:hAnsiTheme="majorHAnsi" w:cstheme="majorHAnsi"/>
          <w:sz w:val="22"/>
          <w:szCs w:val="22"/>
        </w:rPr>
        <w:t>)</w:t>
      </w:r>
      <w:r w:rsidR="007D6AF4" w:rsidRPr="00FC112D">
        <w:rPr>
          <w:rFonts w:asciiTheme="majorHAnsi" w:hAnsiTheme="majorHAnsi" w:cstheme="minorHAnsi"/>
          <w:sz w:val="22"/>
          <w:szCs w:val="22"/>
        </w:rPr>
        <w:t xml:space="preserve"> </w:t>
      </w:r>
      <w:r w:rsidR="00954F71" w:rsidRPr="00FC112D">
        <w:rPr>
          <w:rFonts w:asciiTheme="majorHAnsi" w:hAnsiTheme="majorHAnsi" w:cstheme="majorHAnsi"/>
          <w:sz w:val="22"/>
          <w:szCs w:val="22"/>
        </w:rPr>
        <w:t>skutkuje samoistnym unieważnieniem</w:t>
      </w:r>
      <w:r w:rsidR="006C4727" w:rsidRPr="00FC112D">
        <w:rPr>
          <w:rFonts w:asciiTheme="majorHAnsi" w:hAnsiTheme="majorHAnsi" w:cstheme="majorHAnsi"/>
          <w:sz w:val="22"/>
          <w:szCs w:val="22"/>
        </w:rPr>
        <w:t xml:space="preserve"> (co jest równoznaczne z </w:t>
      </w:r>
      <w:r w:rsidR="0013076D" w:rsidRPr="00FC112D">
        <w:rPr>
          <w:rFonts w:asciiTheme="majorHAnsi" w:hAnsiTheme="majorHAnsi" w:cstheme="majorHAnsi"/>
          <w:sz w:val="22"/>
          <w:szCs w:val="22"/>
        </w:rPr>
        <w:t>cofnięciem</w:t>
      </w:r>
      <w:r w:rsidR="006C4727" w:rsidRPr="00FC112D">
        <w:rPr>
          <w:rFonts w:asciiTheme="majorHAnsi" w:hAnsiTheme="majorHAnsi" w:cstheme="majorHAnsi"/>
          <w:sz w:val="22"/>
          <w:szCs w:val="22"/>
        </w:rPr>
        <w:t>)</w:t>
      </w:r>
      <w:r w:rsidR="00954F71" w:rsidRPr="00FC112D">
        <w:rPr>
          <w:rFonts w:asciiTheme="majorHAnsi" w:hAnsiTheme="majorHAnsi" w:cstheme="majorHAnsi"/>
          <w:sz w:val="22"/>
          <w:szCs w:val="22"/>
        </w:rPr>
        <w:t xml:space="preserve"> </w:t>
      </w:r>
      <w:r w:rsidR="0013076D" w:rsidRPr="00FC112D">
        <w:rPr>
          <w:rFonts w:asciiTheme="majorHAnsi" w:hAnsiTheme="majorHAnsi" w:cstheme="majorHAnsi"/>
          <w:sz w:val="22"/>
          <w:szCs w:val="22"/>
        </w:rPr>
        <w:t>Certyfikatu</w:t>
      </w:r>
      <w:r w:rsidR="00954F71" w:rsidRPr="00FC112D">
        <w:rPr>
          <w:rFonts w:asciiTheme="majorHAnsi" w:hAnsiTheme="majorHAnsi" w:cstheme="majorHAnsi"/>
          <w:sz w:val="22"/>
          <w:szCs w:val="22"/>
        </w:rPr>
        <w:t xml:space="preserve"> </w:t>
      </w:r>
      <w:r w:rsidR="0013076D" w:rsidRPr="00FC112D">
        <w:rPr>
          <w:rFonts w:asciiTheme="majorHAnsi" w:hAnsiTheme="majorHAnsi" w:cstheme="majorHAnsi"/>
          <w:sz w:val="22"/>
          <w:szCs w:val="22"/>
        </w:rPr>
        <w:t xml:space="preserve">wydanego </w:t>
      </w:r>
      <w:r w:rsidR="002A1DA6" w:rsidRPr="00FC112D">
        <w:rPr>
          <w:rFonts w:asciiTheme="majorHAnsi" w:hAnsiTheme="majorHAnsi" w:cstheme="majorHAnsi"/>
          <w:sz w:val="22"/>
          <w:szCs w:val="22"/>
        </w:rPr>
        <w:t xml:space="preserve">przez PCBC </w:t>
      </w:r>
      <w:r w:rsidR="00954F71" w:rsidRPr="00FC112D">
        <w:rPr>
          <w:rFonts w:asciiTheme="majorHAnsi" w:hAnsiTheme="majorHAnsi" w:cstheme="majorHAnsi"/>
          <w:sz w:val="22"/>
          <w:szCs w:val="22"/>
        </w:rPr>
        <w:t xml:space="preserve">z dniem </w:t>
      </w:r>
      <w:r w:rsidR="0013076D" w:rsidRPr="00FC112D">
        <w:rPr>
          <w:rFonts w:asciiTheme="majorHAnsi" w:hAnsiTheme="majorHAnsi" w:cstheme="majorHAnsi"/>
          <w:sz w:val="22"/>
          <w:szCs w:val="22"/>
        </w:rPr>
        <w:t>rozwiązania niniejszej umowy.</w:t>
      </w:r>
    </w:p>
    <w:p w14:paraId="0E11ED40" w14:textId="54D8DB94" w:rsidR="0013076D" w:rsidRPr="00FF5966" w:rsidRDefault="0013076D" w:rsidP="00FC112D">
      <w:pPr>
        <w:widowControl w:val="0"/>
        <w:numPr>
          <w:ilvl w:val="0"/>
          <w:numId w:val="2"/>
        </w:numPr>
        <w:tabs>
          <w:tab w:val="clear" w:pos="360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sz w:val="22"/>
          <w:szCs w:val="22"/>
        </w:rPr>
      </w:pPr>
      <w:r w:rsidRPr="00FF5966">
        <w:rPr>
          <w:rFonts w:asciiTheme="majorHAnsi" w:hAnsiTheme="majorHAnsi" w:cstheme="minorHAnsi"/>
          <w:color w:val="000000"/>
          <w:sz w:val="22"/>
          <w:szCs w:val="22"/>
        </w:rPr>
        <w:t>Niniejsza umowa może zostać rozwiązana w każdym czasie na podstawie porozumienia Stron.</w:t>
      </w:r>
    </w:p>
    <w:p w14:paraId="1AEE2D7D" w14:textId="7A0255AB" w:rsidR="00E84C89" w:rsidRPr="00E84C89" w:rsidRDefault="006C4727" w:rsidP="00FC112D">
      <w:pPr>
        <w:widowControl w:val="0"/>
        <w:numPr>
          <w:ilvl w:val="0"/>
          <w:numId w:val="2"/>
        </w:numPr>
        <w:tabs>
          <w:tab w:val="clear" w:pos="360"/>
        </w:tabs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sz w:val="22"/>
          <w:szCs w:val="22"/>
        </w:rPr>
      </w:pPr>
      <w:r w:rsidRPr="00FF5966">
        <w:rPr>
          <w:rFonts w:asciiTheme="majorHAnsi" w:hAnsiTheme="majorHAnsi" w:cstheme="minorHAnsi"/>
          <w:color w:val="000000"/>
          <w:sz w:val="22"/>
          <w:szCs w:val="22"/>
        </w:rPr>
        <w:t xml:space="preserve">Strony ustalają, iż w przypadku wypowiedzenia Umowy zgodnie z ust. </w:t>
      </w:r>
      <w:r w:rsidR="00512B67" w:rsidRPr="00FF5966">
        <w:rPr>
          <w:rFonts w:asciiTheme="majorHAnsi" w:hAnsiTheme="majorHAnsi" w:cstheme="minorHAnsi"/>
          <w:color w:val="000000"/>
          <w:sz w:val="22"/>
          <w:szCs w:val="22"/>
        </w:rPr>
        <w:t>5</w:t>
      </w:r>
      <w:r w:rsidRPr="00697C78">
        <w:rPr>
          <w:rFonts w:asciiTheme="majorHAnsi" w:hAnsiTheme="majorHAnsi" w:cstheme="minorHAnsi"/>
          <w:color w:val="000000"/>
          <w:sz w:val="22"/>
          <w:szCs w:val="22"/>
        </w:rPr>
        <w:t xml:space="preserve">, w dacie doręczenia drugiej Stronie oświadczenia o wypowiedzeniu ulegają przerwaniu wszystkie czynności wykonywane przez PCBC na rzecz Producenta i w stosunku do </w:t>
      </w:r>
      <w:r w:rsidR="00512B67" w:rsidRPr="00697C78">
        <w:rPr>
          <w:rFonts w:asciiTheme="majorHAnsi" w:hAnsiTheme="majorHAnsi" w:cstheme="minorHAnsi"/>
          <w:color w:val="000000"/>
          <w:sz w:val="22"/>
          <w:szCs w:val="22"/>
        </w:rPr>
        <w:t>p</w:t>
      </w:r>
      <w:r w:rsidRPr="00697C78">
        <w:rPr>
          <w:rFonts w:asciiTheme="majorHAnsi" w:hAnsiTheme="majorHAnsi" w:cstheme="minorHAnsi"/>
          <w:color w:val="000000"/>
          <w:sz w:val="22"/>
          <w:szCs w:val="22"/>
        </w:rPr>
        <w:t xml:space="preserve">roduktu nawozowego UE, w tym wstępne analizy, </w:t>
      </w:r>
      <w:r w:rsidR="00613B06">
        <w:rPr>
          <w:rFonts w:asciiTheme="majorHAnsi" w:hAnsiTheme="majorHAnsi" w:cstheme="minorHAnsi"/>
          <w:color w:val="000000"/>
          <w:sz w:val="22"/>
          <w:szCs w:val="22"/>
        </w:rPr>
        <w:br/>
      </w:r>
      <w:r w:rsidRPr="00697C78">
        <w:rPr>
          <w:rFonts w:asciiTheme="majorHAnsi" w:hAnsiTheme="majorHAnsi" w:cstheme="minorHAnsi"/>
          <w:color w:val="000000"/>
          <w:sz w:val="22"/>
          <w:szCs w:val="22"/>
        </w:rPr>
        <w:t xml:space="preserve">o których mowa w § 2 ust. 5 (o ile są w toku), procesy </w:t>
      </w:r>
      <w:r w:rsidR="00512B67" w:rsidRPr="00697C78">
        <w:rPr>
          <w:rFonts w:asciiTheme="majorHAnsi" w:hAnsiTheme="majorHAnsi" w:cstheme="minorHAnsi"/>
          <w:color w:val="000000"/>
          <w:sz w:val="22"/>
          <w:szCs w:val="22"/>
        </w:rPr>
        <w:t>o</w:t>
      </w:r>
      <w:r w:rsidRPr="00697C78">
        <w:rPr>
          <w:rFonts w:asciiTheme="majorHAnsi" w:hAnsiTheme="majorHAnsi" w:cstheme="minorHAnsi"/>
          <w:color w:val="000000"/>
          <w:sz w:val="22"/>
          <w:szCs w:val="22"/>
        </w:rPr>
        <w:t xml:space="preserve">ceny zgodności itd. </w:t>
      </w:r>
    </w:p>
    <w:p w14:paraId="3C3BE91F" w14:textId="77777777" w:rsidR="00E84C89" w:rsidRDefault="006C4727" w:rsidP="00E84C89">
      <w:pPr>
        <w:widowControl w:val="0"/>
        <w:spacing w:beforeLines="20" w:before="48" w:afterLines="20" w:after="48"/>
        <w:ind w:left="709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697C78">
        <w:rPr>
          <w:rFonts w:asciiTheme="majorHAnsi" w:hAnsiTheme="majorHAnsi" w:cstheme="minorHAnsi"/>
          <w:color w:val="000000"/>
          <w:sz w:val="22"/>
          <w:szCs w:val="22"/>
        </w:rPr>
        <w:t xml:space="preserve">W takim przypadku Producent dokona zapłaty opłat i zwrotu kosztów na rzecz PCBC ustalonych na dzień doręczenia oświadczenia o wypowiedzeniu </w:t>
      </w:r>
      <w:r w:rsidR="00512B67" w:rsidRPr="00697C78">
        <w:rPr>
          <w:rFonts w:asciiTheme="majorHAnsi" w:hAnsiTheme="majorHAnsi" w:cstheme="minorHAnsi"/>
          <w:color w:val="000000"/>
          <w:sz w:val="22"/>
          <w:szCs w:val="22"/>
        </w:rPr>
        <w:t>(tj. na datę prz</w:t>
      </w:r>
      <w:r w:rsidR="005413B9">
        <w:rPr>
          <w:rFonts w:asciiTheme="majorHAnsi" w:hAnsiTheme="majorHAnsi" w:cstheme="minorHAnsi"/>
          <w:color w:val="000000"/>
          <w:sz w:val="22"/>
          <w:szCs w:val="22"/>
        </w:rPr>
        <w:t>er</w:t>
      </w:r>
      <w:r w:rsidR="00512B67" w:rsidRPr="00697C78">
        <w:rPr>
          <w:rFonts w:asciiTheme="majorHAnsi" w:hAnsiTheme="majorHAnsi" w:cstheme="minorHAnsi"/>
          <w:color w:val="000000"/>
          <w:sz w:val="22"/>
          <w:szCs w:val="22"/>
        </w:rPr>
        <w:t xml:space="preserve">wania czynności przez PCBC) </w:t>
      </w:r>
      <w:r w:rsidRPr="00697C78">
        <w:rPr>
          <w:rFonts w:asciiTheme="majorHAnsi" w:hAnsiTheme="majorHAnsi" w:cstheme="minorHAnsi"/>
          <w:color w:val="000000"/>
          <w:sz w:val="22"/>
          <w:szCs w:val="22"/>
        </w:rPr>
        <w:t xml:space="preserve">zgodnie z postanowieniami § 7 ust. 5 i ust. 6-11 stosowanymi odpowiednio. </w:t>
      </w:r>
    </w:p>
    <w:p w14:paraId="6A22D1D6" w14:textId="0D22B7C1" w:rsidR="0013076D" w:rsidRPr="00512B67" w:rsidRDefault="006C4727" w:rsidP="00E84C89">
      <w:pPr>
        <w:widowControl w:val="0"/>
        <w:spacing w:beforeLines="20" w:before="48" w:afterLines="20" w:after="48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97C78">
        <w:rPr>
          <w:rFonts w:asciiTheme="majorHAnsi" w:hAnsiTheme="majorHAnsi" w:cstheme="minorHAnsi"/>
          <w:color w:val="000000"/>
          <w:sz w:val="22"/>
          <w:szCs w:val="22"/>
        </w:rPr>
        <w:t xml:space="preserve">W przypadku </w:t>
      </w:r>
      <w:r w:rsidR="00512B67">
        <w:rPr>
          <w:rFonts w:asciiTheme="majorHAnsi" w:hAnsiTheme="majorHAnsi" w:cstheme="minorHAnsi"/>
          <w:color w:val="000000"/>
          <w:sz w:val="22"/>
          <w:szCs w:val="22"/>
        </w:rPr>
        <w:t>rozwiązania</w:t>
      </w:r>
      <w:r w:rsidRPr="00697C7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512B67">
        <w:rPr>
          <w:rFonts w:asciiTheme="majorHAnsi" w:hAnsiTheme="majorHAnsi" w:cstheme="minorHAnsi"/>
          <w:color w:val="000000"/>
          <w:sz w:val="22"/>
          <w:szCs w:val="22"/>
        </w:rPr>
        <w:t xml:space="preserve">niniejszej </w:t>
      </w:r>
      <w:r w:rsidR="00611DA3">
        <w:rPr>
          <w:rFonts w:asciiTheme="majorHAnsi" w:hAnsiTheme="majorHAnsi" w:cstheme="minorHAnsi"/>
          <w:color w:val="000000"/>
          <w:sz w:val="22"/>
          <w:szCs w:val="22"/>
        </w:rPr>
        <w:t>u</w:t>
      </w:r>
      <w:r w:rsidRPr="00697C78">
        <w:rPr>
          <w:rFonts w:asciiTheme="majorHAnsi" w:hAnsiTheme="majorHAnsi" w:cstheme="minorHAnsi"/>
          <w:color w:val="000000"/>
          <w:sz w:val="22"/>
          <w:szCs w:val="22"/>
        </w:rPr>
        <w:t xml:space="preserve">mowy za porozumieniem Stron, Strony w porozumieniu ustalą datę przerwania czynności, o których mowa w niniejszym ustępie, a dla rozliczeń Stron następujących po rozwiązaniu </w:t>
      </w:r>
      <w:r w:rsidR="00512B67">
        <w:rPr>
          <w:rFonts w:asciiTheme="majorHAnsi" w:hAnsiTheme="majorHAnsi" w:cstheme="minorHAnsi"/>
          <w:color w:val="000000"/>
          <w:sz w:val="22"/>
          <w:szCs w:val="22"/>
        </w:rPr>
        <w:t>niniejszej u</w:t>
      </w:r>
      <w:r w:rsidRPr="00697C78">
        <w:rPr>
          <w:rFonts w:asciiTheme="majorHAnsi" w:hAnsiTheme="majorHAnsi" w:cstheme="minorHAnsi"/>
          <w:color w:val="000000"/>
          <w:sz w:val="22"/>
          <w:szCs w:val="22"/>
        </w:rPr>
        <w:t>mowy, postanowienia niniejszego ustępu stosuje się odpowiednio.</w:t>
      </w:r>
    </w:p>
    <w:p w14:paraId="2677DBED" w14:textId="53155F72" w:rsidR="00EE674A" w:rsidRPr="00FC112D" w:rsidRDefault="00512B67" w:rsidP="00FC112D">
      <w:pPr>
        <w:widowControl w:val="0"/>
        <w:spacing w:beforeLines="20" w:before="48" w:afterLines="20" w:after="48"/>
        <w:ind w:left="708" w:hanging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8.</w:t>
      </w:r>
      <w:r>
        <w:rPr>
          <w:rFonts w:asciiTheme="majorHAnsi" w:hAnsiTheme="majorHAnsi" w:cstheme="majorHAnsi"/>
          <w:sz w:val="22"/>
          <w:szCs w:val="22"/>
        </w:rPr>
        <w:tab/>
      </w:r>
      <w:r w:rsidR="00D27680" w:rsidRPr="00697C78">
        <w:rPr>
          <w:rFonts w:asciiTheme="majorHAnsi" w:hAnsiTheme="majorHAnsi" w:cstheme="majorHAnsi"/>
          <w:sz w:val="22"/>
          <w:szCs w:val="22"/>
        </w:rPr>
        <w:t>Bez uszczerbku dla</w:t>
      </w:r>
      <w:r w:rsidR="002D4FF2" w:rsidRPr="00697C78">
        <w:rPr>
          <w:rFonts w:asciiTheme="majorHAnsi" w:hAnsiTheme="majorHAnsi" w:cstheme="majorHAnsi"/>
          <w:sz w:val="22"/>
          <w:szCs w:val="22"/>
        </w:rPr>
        <w:t xml:space="preserve"> postanowień</w:t>
      </w:r>
      <w:r w:rsidR="00D27680" w:rsidRPr="00697C78">
        <w:rPr>
          <w:rFonts w:asciiTheme="majorHAnsi" w:hAnsiTheme="majorHAnsi" w:cstheme="majorHAnsi"/>
          <w:sz w:val="22"/>
          <w:szCs w:val="22"/>
        </w:rPr>
        <w:t xml:space="preserve"> </w:t>
      </w:r>
      <w:r w:rsidR="00E025AC" w:rsidRPr="00FC112D">
        <w:rPr>
          <w:rFonts w:asciiTheme="majorHAnsi" w:hAnsiTheme="majorHAnsi" w:cstheme="majorHAnsi"/>
          <w:sz w:val="22"/>
          <w:szCs w:val="22"/>
        </w:rPr>
        <w:t>ust</w:t>
      </w:r>
      <w:r w:rsidR="00311975" w:rsidRPr="00FC112D">
        <w:rPr>
          <w:rFonts w:asciiTheme="majorHAnsi" w:hAnsiTheme="majorHAnsi" w:cstheme="majorHAnsi"/>
          <w:sz w:val="22"/>
          <w:szCs w:val="22"/>
        </w:rPr>
        <w:t xml:space="preserve">. </w:t>
      </w:r>
      <w:r w:rsidR="00D27680" w:rsidRPr="00FC112D">
        <w:rPr>
          <w:rFonts w:asciiTheme="majorHAnsi" w:hAnsiTheme="majorHAnsi" w:cstheme="majorHAnsi"/>
          <w:sz w:val="22"/>
          <w:szCs w:val="22"/>
        </w:rPr>
        <w:t>5</w:t>
      </w:r>
      <w:r w:rsidR="00344392" w:rsidRPr="00FC112D">
        <w:rPr>
          <w:rFonts w:asciiTheme="majorHAnsi" w:hAnsiTheme="majorHAnsi" w:cstheme="majorHAnsi"/>
          <w:sz w:val="22"/>
          <w:szCs w:val="22"/>
        </w:rPr>
        <w:t>,</w:t>
      </w:r>
      <w:r w:rsidR="00D27680" w:rsidRPr="00FC112D">
        <w:rPr>
          <w:rFonts w:asciiTheme="majorHAnsi" w:hAnsiTheme="majorHAnsi" w:cstheme="majorHAnsi"/>
          <w:sz w:val="22"/>
          <w:szCs w:val="22"/>
        </w:rPr>
        <w:t xml:space="preserve"> na </w:t>
      </w:r>
      <w:r w:rsidR="00A35C9D" w:rsidRPr="00FC112D">
        <w:rPr>
          <w:rFonts w:asciiTheme="majorHAnsi" w:hAnsiTheme="majorHAnsi" w:cstheme="majorHAnsi"/>
          <w:sz w:val="22"/>
          <w:szCs w:val="22"/>
        </w:rPr>
        <w:t>Producencie</w:t>
      </w:r>
      <w:r w:rsidR="00E025AC" w:rsidRPr="00FC112D">
        <w:rPr>
          <w:rFonts w:asciiTheme="majorHAnsi" w:hAnsiTheme="majorHAnsi" w:cstheme="majorHAnsi"/>
          <w:sz w:val="22"/>
          <w:szCs w:val="22"/>
        </w:rPr>
        <w:t>,</w:t>
      </w:r>
      <w:r w:rsidR="00D27680" w:rsidRPr="00FC112D">
        <w:rPr>
          <w:rFonts w:asciiTheme="majorHAnsi" w:hAnsiTheme="majorHAnsi" w:cstheme="majorHAnsi"/>
          <w:sz w:val="22"/>
          <w:szCs w:val="22"/>
        </w:rPr>
        <w:t xml:space="preserve"> w okresie ważności </w:t>
      </w:r>
      <w:r w:rsidR="005413B9">
        <w:rPr>
          <w:rFonts w:asciiTheme="majorHAnsi" w:hAnsiTheme="majorHAnsi" w:cstheme="majorHAnsi"/>
          <w:sz w:val="22"/>
          <w:szCs w:val="22"/>
        </w:rPr>
        <w:t>C</w:t>
      </w:r>
      <w:r w:rsidR="005413B9" w:rsidRPr="00FC112D">
        <w:rPr>
          <w:rFonts w:asciiTheme="majorHAnsi" w:hAnsiTheme="majorHAnsi" w:cstheme="majorHAnsi"/>
          <w:sz w:val="22"/>
          <w:szCs w:val="22"/>
        </w:rPr>
        <w:t>ertyfikatu</w:t>
      </w:r>
      <w:r w:rsidR="00311975" w:rsidRPr="00FC112D">
        <w:rPr>
          <w:rFonts w:asciiTheme="majorHAnsi" w:hAnsiTheme="majorHAnsi" w:cstheme="majorHAnsi"/>
          <w:sz w:val="22"/>
          <w:szCs w:val="22"/>
        </w:rPr>
        <w:t>,</w:t>
      </w:r>
      <w:r w:rsidR="0064218A">
        <w:rPr>
          <w:rFonts w:asciiTheme="majorHAnsi" w:hAnsiTheme="majorHAnsi" w:cstheme="majorHAnsi"/>
          <w:sz w:val="22"/>
          <w:szCs w:val="22"/>
        </w:rPr>
        <w:t xml:space="preserve"> w okresie wypowiedzenia,</w:t>
      </w:r>
      <w:r w:rsidR="002D4FF2" w:rsidRPr="00FC112D">
        <w:rPr>
          <w:rFonts w:asciiTheme="majorHAnsi" w:hAnsiTheme="majorHAnsi" w:cstheme="majorHAnsi"/>
          <w:sz w:val="22"/>
          <w:szCs w:val="22"/>
        </w:rPr>
        <w:t xml:space="preserve"> o którym mowa ust. </w:t>
      </w:r>
      <w:r w:rsidR="0064218A">
        <w:rPr>
          <w:rFonts w:asciiTheme="majorHAnsi" w:hAnsiTheme="majorHAnsi" w:cstheme="majorHAnsi"/>
          <w:sz w:val="22"/>
          <w:szCs w:val="22"/>
        </w:rPr>
        <w:t>4</w:t>
      </w:r>
      <w:r w:rsidR="00E025AC" w:rsidRPr="00FC112D">
        <w:rPr>
          <w:rFonts w:asciiTheme="majorHAnsi" w:hAnsiTheme="majorHAnsi" w:cstheme="majorHAnsi"/>
          <w:sz w:val="22"/>
          <w:szCs w:val="22"/>
        </w:rPr>
        <w:t>,</w:t>
      </w:r>
      <w:r w:rsidR="00D27680" w:rsidRPr="00FC112D">
        <w:rPr>
          <w:rFonts w:asciiTheme="majorHAnsi" w:hAnsiTheme="majorHAnsi" w:cstheme="majorHAnsi"/>
          <w:sz w:val="22"/>
          <w:szCs w:val="22"/>
        </w:rPr>
        <w:t xml:space="preserve"> nadal ciążą obowiązki wymienione w</w:t>
      </w:r>
      <w:r w:rsidR="00311975" w:rsidRPr="00FC112D">
        <w:rPr>
          <w:rFonts w:asciiTheme="majorHAnsi" w:hAnsiTheme="majorHAnsi" w:cstheme="majorHAnsi"/>
          <w:sz w:val="22"/>
          <w:szCs w:val="22"/>
        </w:rPr>
        <w:t xml:space="preserve"> </w:t>
      </w:r>
      <w:r w:rsidR="00311975"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>§</w:t>
      </w:r>
      <w:r w:rsidR="00D27680" w:rsidRPr="00FC112D">
        <w:rPr>
          <w:rFonts w:asciiTheme="majorHAnsi" w:hAnsiTheme="majorHAnsi" w:cstheme="majorHAnsi"/>
          <w:sz w:val="22"/>
          <w:szCs w:val="22"/>
        </w:rPr>
        <w:t xml:space="preserve"> 4 </w:t>
      </w:r>
      <w:r w:rsidR="00EE674A" w:rsidRPr="00FC112D">
        <w:rPr>
          <w:rFonts w:asciiTheme="majorHAnsi" w:hAnsiTheme="majorHAnsi" w:cstheme="majorHAnsi"/>
          <w:sz w:val="22"/>
          <w:szCs w:val="22"/>
        </w:rPr>
        <w:t xml:space="preserve">ust. 2. W szczególności </w:t>
      </w:r>
      <w:r w:rsidR="00B67374" w:rsidRPr="00FC112D">
        <w:rPr>
          <w:rFonts w:asciiTheme="majorHAnsi" w:hAnsiTheme="majorHAnsi" w:cstheme="majorHAnsi"/>
          <w:sz w:val="22"/>
          <w:szCs w:val="22"/>
        </w:rPr>
        <w:t>Producent</w:t>
      </w:r>
      <w:r w:rsidR="00EE674A" w:rsidRPr="00FC112D">
        <w:rPr>
          <w:rFonts w:asciiTheme="majorHAnsi" w:hAnsiTheme="majorHAnsi" w:cstheme="majorHAnsi"/>
          <w:sz w:val="22"/>
          <w:szCs w:val="22"/>
        </w:rPr>
        <w:t xml:space="preserve"> ma obowiązek </w:t>
      </w:r>
      <w:r w:rsidR="00EE674A"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>niezwłocznie powiadomi</w:t>
      </w:r>
      <w:r w:rsidR="00344392"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>ć</w:t>
      </w:r>
      <w:r w:rsidR="00EE674A" w:rsidRPr="00FC112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pisemnie PCBC o:</w:t>
      </w:r>
    </w:p>
    <w:p w14:paraId="73FBFF87" w14:textId="1A216CDB" w:rsidR="004641F2" w:rsidRDefault="004641F2" w:rsidP="00A65139">
      <w:pPr>
        <w:pStyle w:val="Tekstpodstawowy3"/>
        <w:widowControl w:val="0"/>
        <w:numPr>
          <w:ilvl w:val="0"/>
          <w:numId w:val="18"/>
        </w:numPr>
        <w:spacing w:beforeLines="20" w:before="48" w:afterLines="20" w:after="48"/>
        <w:ind w:hanging="1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incydentach związanych z produktem nawozowym UE,</w:t>
      </w:r>
    </w:p>
    <w:p w14:paraId="3CD6A1D4" w14:textId="42E55BB5" w:rsidR="00EE674A" w:rsidRDefault="00EE674A" w:rsidP="00FC112D">
      <w:pPr>
        <w:pStyle w:val="Tekstpodstawowy3"/>
        <w:widowControl w:val="0"/>
        <w:numPr>
          <w:ilvl w:val="0"/>
          <w:numId w:val="18"/>
        </w:numPr>
        <w:spacing w:beforeLines="20" w:before="48" w:afterLines="20" w:after="48"/>
        <w:ind w:hanging="1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istotnych zmianach formy organizacyjno-prawnej </w:t>
      </w:r>
      <w:r w:rsidR="00B67374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a,</w:t>
      </w:r>
    </w:p>
    <w:p w14:paraId="110B1DCE" w14:textId="521E6A7D" w:rsidR="00EE674A" w:rsidRDefault="00EE674A" w:rsidP="00FC112D">
      <w:pPr>
        <w:pStyle w:val="Tekstpodstawowy3"/>
        <w:widowControl w:val="0"/>
        <w:numPr>
          <w:ilvl w:val="0"/>
          <w:numId w:val="18"/>
        </w:numPr>
        <w:tabs>
          <w:tab w:val="clear" w:pos="720"/>
          <w:tab w:val="num" w:pos="1418"/>
        </w:tabs>
        <w:spacing w:beforeLines="20" w:before="48" w:afterLines="20" w:after="48"/>
        <w:ind w:left="1418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wszelkich zmianach w 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certyfikowany</w:t>
      </w:r>
      <w:r w:rsidR="00A65139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produk</w:t>
      </w:r>
      <w:r w:rsidR="00A65139">
        <w:rPr>
          <w:rFonts w:asciiTheme="majorHAnsi" w:hAnsiTheme="majorHAnsi" w:cstheme="majorHAnsi"/>
          <w:color w:val="000000" w:themeColor="text1"/>
          <w:sz w:val="22"/>
          <w:szCs w:val="22"/>
        </w:rPr>
        <w:t>cie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nawozowy</w:t>
      </w:r>
      <w:r w:rsidR="00A65139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C666E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UE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, w tym między innymi: dokumentacji technicznej projektowanego</w:t>
      </w:r>
      <w:r w:rsidR="00904132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67374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, liście surowców,</w:t>
      </w:r>
    </w:p>
    <w:p w14:paraId="72832EDD" w14:textId="0E918348" w:rsidR="00EE674A" w:rsidRDefault="00EE674A" w:rsidP="00FC112D">
      <w:pPr>
        <w:pStyle w:val="Tekstpodstawowy3"/>
        <w:widowControl w:val="0"/>
        <w:numPr>
          <w:ilvl w:val="0"/>
          <w:numId w:val="18"/>
        </w:numPr>
        <w:tabs>
          <w:tab w:val="clear" w:pos="720"/>
          <w:tab w:val="num" w:pos="1418"/>
        </w:tabs>
        <w:spacing w:beforeLines="20" w:before="48" w:afterLines="20" w:after="48"/>
        <w:ind w:left="1418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zmianach w systemie</w:t>
      </w:r>
      <w:r w:rsidR="002F60FD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zapewnienia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jakości</w:t>
      </w:r>
      <w:r w:rsidR="002F60FD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produkcji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zakresie elementów związanych z</w:t>
      </w:r>
      <w:r w:rsidR="005B5EBA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certyfikowanym </w:t>
      </w:r>
      <w:r w:rsidR="00A35C9D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produktem</w:t>
      </w:r>
      <w:r w:rsidR="00BC666E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nawozowym UE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</w:p>
    <w:p w14:paraId="2DA9DBFB" w14:textId="2C8A3620" w:rsidR="00EE674A" w:rsidRPr="00A65139" w:rsidRDefault="00EE674A" w:rsidP="00FC112D">
      <w:pPr>
        <w:pStyle w:val="Tekstpodstawowy3"/>
        <w:widowControl w:val="0"/>
        <w:numPr>
          <w:ilvl w:val="0"/>
          <w:numId w:val="18"/>
        </w:numPr>
        <w:tabs>
          <w:tab w:val="clear" w:pos="720"/>
          <w:tab w:val="num" w:pos="1418"/>
        </w:tabs>
        <w:spacing w:beforeLines="20" w:before="48" w:afterLines="20" w:after="48"/>
        <w:ind w:left="1418" w:hanging="709"/>
        <w:jc w:val="both"/>
        <w:rPr>
          <w:rFonts w:asciiTheme="majorHAnsi" w:hAnsiTheme="majorHAnsi" w:cstheme="majorHAnsi"/>
          <w:sz w:val="22"/>
          <w:szCs w:val="22"/>
        </w:rPr>
      </w:pP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zmianach w dokumentacji 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certyfikowan</w:t>
      </w:r>
      <w:r w:rsidR="00A65139">
        <w:rPr>
          <w:rFonts w:asciiTheme="majorHAnsi" w:hAnsiTheme="majorHAnsi" w:cstheme="majorHAnsi"/>
          <w:color w:val="000000" w:themeColor="text1"/>
          <w:sz w:val="22"/>
          <w:szCs w:val="22"/>
        </w:rPr>
        <w:t>ego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produkt</w:t>
      </w:r>
      <w:r w:rsidR="00A65139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</w:t>
      </w:r>
      <w:r w:rsidR="00A65139">
        <w:rPr>
          <w:rFonts w:asciiTheme="majorHAnsi" w:hAnsiTheme="majorHAnsi" w:cstheme="majorHAnsi"/>
          <w:color w:val="000000" w:themeColor="text1"/>
          <w:sz w:val="22"/>
          <w:szCs w:val="22"/>
        </w:rPr>
        <w:t>ego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F60FD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UE</w:t>
      </w:r>
      <w:r w:rsidRPr="00A65139">
        <w:rPr>
          <w:rFonts w:asciiTheme="majorHAnsi" w:hAnsiTheme="majorHAnsi" w:cstheme="majorHAnsi"/>
          <w:sz w:val="22"/>
          <w:szCs w:val="22"/>
        </w:rPr>
        <w:t xml:space="preserve">, w tym zmianach w instrukcji </w:t>
      </w:r>
      <w:r w:rsidR="0001386A" w:rsidRPr="00A65139">
        <w:rPr>
          <w:rFonts w:asciiTheme="majorHAnsi" w:hAnsiTheme="majorHAnsi" w:cstheme="majorHAnsi"/>
          <w:sz w:val="22"/>
          <w:szCs w:val="22"/>
        </w:rPr>
        <w:t xml:space="preserve">stosowania </w:t>
      </w:r>
      <w:r w:rsidRPr="00A65139">
        <w:rPr>
          <w:rFonts w:asciiTheme="majorHAnsi" w:hAnsiTheme="majorHAnsi" w:cstheme="majorHAnsi"/>
          <w:sz w:val="22"/>
          <w:szCs w:val="22"/>
        </w:rPr>
        <w:t xml:space="preserve">i oznakowania </w:t>
      </w:r>
      <w:r w:rsidR="00A65139" w:rsidRPr="00A65139">
        <w:rPr>
          <w:rFonts w:asciiTheme="majorHAnsi" w:hAnsiTheme="majorHAnsi" w:cstheme="majorHAnsi"/>
          <w:sz w:val="22"/>
          <w:szCs w:val="22"/>
        </w:rPr>
        <w:t xml:space="preserve">produktu nawozowego </w:t>
      </w:r>
      <w:r w:rsidR="00810FEF" w:rsidRPr="00A65139">
        <w:rPr>
          <w:rFonts w:asciiTheme="majorHAnsi" w:hAnsiTheme="majorHAnsi" w:cstheme="majorHAnsi"/>
          <w:sz w:val="22"/>
          <w:szCs w:val="22"/>
        </w:rPr>
        <w:t>UE</w:t>
      </w:r>
      <w:r w:rsidRPr="00A65139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1FD3E8F5" w14:textId="4D4B43D7" w:rsidR="00EE674A" w:rsidRPr="00A65139" w:rsidRDefault="00EE674A" w:rsidP="00FC112D">
      <w:pPr>
        <w:pStyle w:val="Tekstpodstawowy3"/>
        <w:widowControl w:val="0"/>
        <w:numPr>
          <w:ilvl w:val="0"/>
          <w:numId w:val="18"/>
        </w:numPr>
        <w:tabs>
          <w:tab w:val="clear" w:pos="720"/>
          <w:tab w:val="num" w:pos="1418"/>
        </w:tabs>
        <w:spacing w:beforeLines="20" w:before="48" w:afterLines="20" w:after="48"/>
        <w:ind w:left="1418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planowanym lub faktycznym zakończeniu produkcji </w:t>
      </w:r>
      <w:r w:rsidR="00B67374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jak również 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każdej planowanej przerw</w:t>
      </w:r>
      <w:r w:rsidR="0001386A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ie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produkcji </w:t>
      </w:r>
      <w:r w:rsidR="00B67374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produktu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nawozowego UE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6CC70873" w14:textId="44D6900E" w:rsidR="00D27680" w:rsidRPr="00FC112D" w:rsidRDefault="00EE674A" w:rsidP="00FC112D">
      <w:pPr>
        <w:pStyle w:val="Tekstpodstawowy3"/>
        <w:widowControl w:val="0"/>
        <w:numPr>
          <w:ilvl w:val="0"/>
          <w:numId w:val="18"/>
        </w:numPr>
        <w:tabs>
          <w:tab w:val="clear" w:pos="720"/>
          <w:tab w:val="num" w:pos="1418"/>
        </w:tabs>
        <w:spacing w:beforeLines="20" w:before="48" w:afterLines="20" w:after="48"/>
        <w:ind w:left="1418" w:hanging="709"/>
        <w:jc w:val="both"/>
        <w:rPr>
          <w:rFonts w:asciiTheme="majorHAnsi" w:hAnsiTheme="majorHAnsi" w:cstheme="majorHAnsi"/>
          <w:sz w:val="22"/>
          <w:szCs w:val="22"/>
        </w:rPr>
      </w:pP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zmianach </w:t>
      </w:r>
      <w:r w:rsidR="00BC666E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adresu 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siedziby</w:t>
      </w:r>
      <w:r w:rsidR="00BC666E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Producenta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, miejsca</w:t>
      </w:r>
      <w:r w:rsidR="00BC666E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ch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35C9D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produkcji</w:t>
      </w:r>
      <w:r w:rsidR="00A6513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produktu nawozowego UE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3A2B231" w14:textId="4A103CA6" w:rsidR="00EE674A" w:rsidRPr="00A65139" w:rsidRDefault="00E025AC" w:rsidP="00A65139">
      <w:pPr>
        <w:pStyle w:val="Default"/>
        <w:widowControl w:val="0"/>
        <w:spacing w:beforeLines="20" w:before="48" w:afterLines="20" w:after="48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A65139">
        <w:rPr>
          <w:rFonts w:asciiTheme="majorHAnsi" w:hAnsiTheme="majorHAnsi" w:cstheme="majorHAnsi"/>
          <w:sz w:val="22"/>
          <w:szCs w:val="22"/>
        </w:rPr>
        <w:t>W przypadku zaistnienia</w:t>
      </w:r>
      <w:r w:rsidR="00EE674A" w:rsidRPr="00A65139">
        <w:rPr>
          <w:rFonts w:asciiTheme="majorHAnsi" w:hAnsiTheme="majorHAnsi" w:cstheme="majorHAnsi"/>
          <w:sz w:val="22"/>
          <w:szCs w:val="22"/>
        </w:rPr>
        <w:t xml:space="preserve"> </w:t>
      </w:r>
      <w:r w:rsidRPr="00A65139">
        <w:rPr>
          <w:rFonts w:asciiTheme="majorHAnsi" w:hAnsiTheme="majorHAnsi" w:cstheme="majorHAnsi"/>
          <w:sz w:val="22"/>
          <w:szCs w:val="22"/>
        </w:rPr>
        <w:t>powyższych</w:t>
      </w:r>
      <w:r w:rsidR="00394748" w:rsidRPr="00A65139">
        <w:rPr>
          <w:rFonts w:asciiTheme="majorHAnsi" w:hAnsiTheme="majorHAnsi" w:cstheme="majorHAnsi"/>
          <w:sz w:val="22"/>
          <w:szCs w:val="22"/>
        </w:rPr>
        <w:t xml:space="preserve"> </w:t>
      </w:r>
      <w:r w:rsidRPr="00A65139">
        <w:rPr>
          <w:rFonts w:asciiTheme="majorHAnsi" w:hAnsiTheme="majorHAnsi" w:cstheme="majorHAnsi"/>
          <w:sz w:val="22"/>
          <w:szCs w:val="22"/>
        </w:rPr>
        <w:t>sytuacji</w:t>
      </w:r>
      <w:r w:rsidR="00EE674A" w:rsidRPr="00A65139">
        <w:rPr>
          <w:rFonts w:asciiTheme="majorHAnsi" w:hAnsiTheme="majorHAnsi" w:cstheme="majorHAnsi"/>
          <w:sz w:val="22"/>
          <w:szCs w:val="22"/>
        </w:rPr>
        <w:t xml:space="preserve"> </w:t>
      </w:r>
      <w:r w:rsidR="00394748" w:rsidRPr="00A65139">
        <w:rPr>
          <w:rFonts w:asciiTheme="majorHAnsi" w:hAnsiTheme="majorHAnsi" w:cstheme="majorHAnsi"/>
          <w:sz w:val="22"/>
          <w:szCs w:val="22"/>
        </w:rPr>
        <w:t xml:space="preserve">w okresie wypowiedzenia </w:t>
      </w:r>
      <w:r w:rsidR="0048239A">
        <w:rPr>
          <w:rFonts w:asciiTheme="majorHAnsi" w:hAnsiTheme="majorHAnsi" w:cstheme="majorHAnsi"/>
          <w:sz w:val="22"/>
          <w:szCs w:val="22"/>
        </w:rPr>
        <w:t>u</w:t>
      </w:r>
      <w:r w:rsidR="00394748" w:rsidRPr="00A65139">
        <w:rPr>
          <w:rFonts w:asciiTheme="majorHAnsi" w:hAnsiTheme="majorHAnsi" w:cstheme="majorHAnsi"/>
          <w:sz w:val="22"/>
          <w:szCs w:val="22"/>
        </w:rPr>
        <w:t xml:space="preserve">mowy lub przed ustalonym w porozumieniu Stron dniu rozwiązania </w:t>
      </w:r>
      <w:r w:rsidR="0048239A">
        <w:rPr>
          <w:rFonts w:asciiTheme="majorHAnsi" w:hAnsiTheme="majorHAnsi" w:cstheme="majorHAnsi"/>
          <w:sz w:val="22"/>
          <w:szCs w:val="22"/>
        </w:rPr>
        <w:t>u</w:t>
      </w:r>
      <w:r w:rsidR="00394748" w:rsidRPr="00A65139">
        <w:rPr>
          <w:rFonts w:asciiTheme="majorHAnsi" w:hAnsiTheme="majorHAnsi" w:cstheme="majorHAnsi"/>
          <w:sz w:val="22"/>
          <w:szCs w:val="22"/>
        </w:rPr>
        <w:t xml:space="preserve">mowy </w:t>
      </w:r>
      <w:r w:rsidRPr="00A65139">
        <w:rPr>
          <w:rFonts w:asciiTheme="majorHAnsi" w:hAnsiTheme="majorHAnsi" w:cstheme="majorHAnsi"/>
          <w:sz w:val="22"/>
          <w:szCs w:val="22"/>
        </w:rPr>
        <w:t xml:space="preserve">PCBC </w:t>
      </w:r>
      <w:r w:rsidR="00EE674A" w:rsidRPr="00A65139">
        <w:rPr>
          <w:rFonts w:asciiTheme="majorHAnsi" w:hAnsiTheme="majorHAnsi" w:cstheme="majorHAnsi"/>
          <w:sz w:val="22"/>
          <w:szCs w:val="22"/>
        </w:rPr>
        <w:t>zastrzega sobie prawo do cofni</w:t>
      </w:r>
      <w:r w:rsidR="002F60FD" w:rsidRPr="00A65139">
        <w:rPr>
          <w:rFonts w:asciiTheme="majorHAnsi" w:hAnsiTheme="majorHAnsi" w:cstheme="majorHAnsi"/>
          <w:sz w:val="22"/>
          <w:szCs w:val="22"/>
        </w:rPr>
        <w:t>ęci</w:t>
      </w:r>
      <w:r w:rsidR="00EE55E3" w:rsidRPr="00A65139">
        <w:rPr>
          <w:rFonts w:asciiTheme="majorHAnsi" w:hAnsiTheme="majorHAnsi" w:cstheme="majorHAnsi"/>
          <w:sz w:val="22"/>
          <w:szCs w:val="22"/>
        </w:rPr>
        <w:t>a</w:t>
      </w:r>
      <w:r w:rsidR="00EE674A" w:rsidRPr="00A65139">
        <w:rPr>
          <w:rFonts w:asciiTheme="majorHAnsi" w:hAnsiTheme="majorHAnsi" w:cstheme="majorHAnsi"/>
          <w:sz w:val="22"/>
          <w:szCs w:val="22"/>
        </w:rPr>
        <w:t xml:space="preserve"> </w:t>
      </w:r>
      <w:r w:rsidR="00A65139" w:rsidRPr="00A65139">
        <w:rPr>
          <w:rFonts w:asciiTheme="majorHAnsi" w:hAnsiTheme="majorHAnsi" w:cstheme="majorHAnsi"/>
          <w:sz w:val="22"/>
          <w:szCs w:val="22"/>
        </w:rPr>
        <w:t xml:space="preserve">Certyfikatu wystawionego </w:t>
      </w:r>
      <w:r w:rsidR="00311975" w:rsidRPr="00A65139">
        <w:rPr>
          <w:rFonts w:asciiTheme="majorHAnsi" w:hAnsiTheme="majorHAnsi" w:cstheme="majorHAnsi"/>
          <w:sz w:val="22"/>
          <w:szCs w:val="22"/>
        </w:rPr>
        <w:t>na podstawie</w:t>
      </w:r>
      <w:r w:rsidR="00EE674A" w:rsidRPr="00A65139">
        <w:rPr>
          <w:rFonts w:asciiTheme="majorHAnsi" w:hAnsiTheme="majorHAnsi" w:cstheme="majorHAnsi"/>
          <w:sz w:val="22"/>
          <w:szCs w:val="22"/>
        </w:rPr>
        <w:t xml:space="preserve"> </w:t>
      </w:r>
      <w:r w:rsidR="00A65139" w:rsidRPr="00A65139">
        <w:rPr>
          <w:rFonts w:asciiTheme="majorHAnsi" w:hAnsiTheme="majorHAnsi" w:cstheme="majorHAnsi"/>
          <w:sz w:val="22"/>
          <w:szCs w:val="22"/>
        </w:rPr>
        <w:t>niniejszej umowy</w:t>
      </w:r>
      <w:r w:rsidR="00D4665D">
        <w:rPr>
          <w:rFonts w:asciiTheme="majorHAnsi" w:hAnsiTheme="majorHAnsi" w:cstheme="majorHAnsi"/>
          <w:sz w:val="22"/>
          <w:szCs w:val="22"/>
        </w:rPr>
        <w:t>.</w:t>
      </w:r>
    </w:p>
    <w:p w14:paraId="159E1C9C" w14:textId="34AD5563" w:rsidR="001A3AC1" w:rsidRDefault="00A65139" w:rsidP="00FC112D">
      <w:pPr>
        <w:widowControl w:val="0"/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>9.</w:t>
      </w:r>
      <w:r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655579" w:rsidRPr="00A65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</w:t>
      </w:r>
      <w:r w:rsidR="00655579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przysługuje prawo do rozwiązania niniejszej </w:t>
      </w:r>
      <w:r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umowy </w:t>
      </w:r>
      <w:r w:rsidR="00655579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>w trybie natychmiastowym, b</w:t>
      </w:r>
      <w:r w:rsidR="005634C0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ez zachowania określonego w </w:t>
      </w:r>
      <w:r w:rsidR="00904132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ust. </w:t>
      </w:r>
      <w:r w:rsidR="000163E4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4 </w:t>
      </w:r>
      <w:r w:rsidR="00655579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>okresu</w:t>
      </w:r>
      <w:r w:rsidR="00573588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wypowiedzenia, w przypadku</w:t>
      </w:r>
      <w:r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573588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AAE9A98" w14:textId="6BF37DC0" w:rsidR="001A3AC1" w:rsidRPr="001A3AC1" w:rsidRDefault="00573588" w:rsidP="001A3AC1">
      <w:pPr>
        <w:pStyle w:val="Akapitzlist"/>
        <w:widowControl w:val="0"/>
        <w:numPr>
          <w:ilvl w:val="0"/>
          <w:numId w:val="47"/>
        </w:numPr>
        <w:spacing w:beforeLines="20" w:before="48" w:afterLines="20" w:after="4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A3AC1">
        <w:rPr>
          <w:rFonts w:asciiTheme="majorHAnsi" w:hAnsiTheme="majorHAnsi" w:cstheme="majorHAnsi"/>
          <w:color w:val="000000" w:themeColor="text1"/>
          <w:sz w:val="22"/>
          <w:szCs w:val="22"/>
        </w:rPr>
        <w:t>nie</w:t>
      </w:r>
      <w:r w:rsidR="00655579" w:rsidRPr="001A3A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uiszczenia </w:t>
      </w:r>
      <w:r w:rsidR="00A65139" w:rsidRPr="001A3A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przez </w:t>
      </w:r>
      <w:r w:rsidR="001A3AC1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A65139" w:rsidRPr="001A3A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roducenta </w:t>
      </w:r>
      <w:r w:rsidR="00655579" w:rsidRPr="001A3AC1">
        <w:rPr>
          <w:rFonts w:asciiTheme="majorHAnsi" w:hAnsiTheme="majorHAnsi" w:cstheme="majorHAnsi"/>
          <w:color w:val="000000" w:themeColor="text1"/>
          <w:sz w:val="22"/>
          <w:szCs w:val="22"/>
        </w:rPr>
        <w:t>w określonym termini</w:t>
      </w:r>
      <w:r w:rsidR="008B4A61" w:rsidRPr="001A3A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opłat </w:t>
      </w:r>
      <w:r w:rsidR="00A65139" w:rsidRPr="001A3A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wymaganych zgodnie </w:t>
      </w:r>
      <w:r w:rsidR="00D4665D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A65139" w:rsidRPr="001A3A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postanowieniami </w:t>
      </w:r>
      <w:r w:rsidR="0064218A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A65139" w:rsidRPr="001A3A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iniejszej umowy; </w:t>
      </w:r>
    </w:p>
    <w:p w14:paraId="2FE040AB" w14:textId="4C275C24" w:rsidR="001A3AC1" w:rsidRPr="00DD5548" w:rsidRDefault="00A65139" w:rsidP="00DD5548">
      <w:pPr>
        <w:pStyle w:val="Akapitzlist"/>
        <w:widowControl w:val="0"/>
        <w:numPr>
          <w:ilvl w:val="0"/>
          <w:numId w:val="47"/>
        </w:numPr>
        <w:spacing w:beforeLines="20" w:before="48" w:afterLines="20" w:after="4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D55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rażącego naruszenia przez Producenta postanowień niniejszej umowy lub przepisów prawa istotnych ze względu na przedmiot niniejszej umowy, </w:t>
      </w:r>
    </w:p>
    <w:p w14:paraId="44E2A5DD" w14:textId="7CFC1362" w:rsidR="00A520FF" w:rsidRPr="00204755" w:rsidRDefault="00587D9C" w:rsidP="00DD5548">
      <w:pPr>
        <w:pStyle w:val="Akapitzlist"/>
        <w:widowControl w:val="0"/>
        <w:numPr>
          <w:ilvl w:val="0"/>
          <w:numId w:val="47"/>
        </w:numPr>
        <w:spacing w:beforeLines="20" w:before="48" w:afterLines="20" w:after="4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97C78">
        <w:rPr>
          <w:rFonts w:asciiTheme="majorHAnsi" w:hAnsiTheme="majorHAnsi" w:cstheme="majorHAnsi"/>
          <w:color w:val="000000" w:themeColor="text1"/>
          <w:sz w:val="22"/>
          <w:szCs w:val="22"/>
        </w:rPr>
        <w:t>niewywiązywania się z obowiązkó</w:t>
      </w:r>
      <w:r w:rsidR="00DD6423" w:rsidRPr="00697C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</w:t>
      </w:r>
      <w:r w:rsidR="00B67374" w:rsidRPr="00697C78">
        <w:rPr>
          <w:rFonts w:asciiTheme="majorHAnsi" w:hAnsiTheme="majorHAnsi" w:cstheme="majorHAnsi"/>
          <w:color w:val="000000" w:themeColor="text1"/>
          <w:sz w:val="22"/>
          <w:szCs w:val="22"/>
        </w:rPr>
        <w:t>Producent</w:t>
      </w:r>
      <w:r w:rsidR="00DD6423" w:rsidRPr="00697C78">
        <w:rPr>
          <w:rFonts w:asciiTheme="majorHAnsi" w:hAnsiTheme="majorHAnsi" w:cstheme="majorHAnsi"/>
          <w:color w:val="000000" w:themeColor="text1"/>
          <w:sz w:val="22"/>
          <w:szCs w:val="22"/>
        </w:rPr>
        <w:t>a określonych</w:t>
      </w:r>
      <w:r w:rsidR="00AE6E3F" w:rsidRPr="00697C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B0CDA" w:rsidRPr="00697C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§ </w:t>
      </w:r>
      <w:r w:rsidR="008B0CDA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3 </w:t>
      </w:r>
      <w:r w:rsidR="00394748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ust. 1 </w:t>
      </w:r>
      <w:r w:rsidR="00566A7E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>pkt 1.2</w:t>
      </w:r>
      <w:r w:rsidR="00A65139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lub</w:t>
      </w:r>
      <w:r w:rsidR="00566A7E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B0CDA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>pkt 1.6</w:t>
      </w:r>
      <w:r w:rsidR="00A65139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3C514159" w14:textId="6AF57145" w:rsidR="00A65139" w:rsidRPr="00A520FF" w:rsidRDefault="00A65139" w:rsidP="00A520FF">
      <w:pPr>
        <w:widowControl w:val="0"/>
        <w:spacing w:beforeLines="20" w:before="48" w:afterLines="20" w:after="48"/>
        <w:ind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</w:rPr>
      </w:pPr>
      <w:r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>W taki</w:t>
      </w:r>
      <w:r w:rsidR="00A520FF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>ch</w:t>
      </w:r>
      <w:r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przypadk</w:t>
      </w:r>
      <w:r w:rsidR="00A520FF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>ach</w:t>
      </w:r>
      <w:r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postanowienia ust. </w:t>
      </w:r>
      <w:r w:rsidR="005413B9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520FF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powyżej </w:t>
      </w:r>
      <w:r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>stosuje się</w:t>
      </w:r>
      <w:r w:rsidR="000E7BD0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odpowied</w:t>
      </w:r>
      <w:r w:rsidR="000E7BD0" w:rsidRPr="004B5791">
        <w:rPr>
          <w:rFonts w:asciiTheme="majorHAnsi" w:hAnsiTheme="majorHAnsi" w:cstheme="majorHAnsi"/>
          <w:color w:val="000000" w:themeColor="text1"/>
          <w:sz w:val="22"/>
          <w:szCs w:val="22"/>
        </w:rPr>
        <w:t>nio</w:t>
      </w:r>
      <w:r w:rsidRPr="004B579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5D6496F" w14:textId="7FE4699A" w:rsidR="008B4A61" w:rsidRPr="007342A5" w:rsidRDefault="00A65139" w:rsidP="00FC112D">
      <w:pPr>
        <w:widowControl w:val="0"/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>10.</w:t>
      </w:r>
      <w:r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Z zastrzeżeniem treści ust. 11 i ust. 12</w:t>
      </w:r>
      <w:r w:rsidR="00224C10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- 15</w:t>
      </w:r>
      <w:r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>, o</w:t>
      </w:r>
      <w:r w:rsidR="008B4A61" w:rsidRPr="00204755">
        <w:rPr>
          <w:rFonts w:asciiTheme="majorHAnsi" w:hAnsiTheme="majorHAnsi" w:cstheme="majorHAnsi"/>
          <w:color w:val="000000" w:themeColor="text1"/>
          <w:sz w:val="22"/>
          <w:szCs w:val="22"/>
        </w:rPr>
        <w:t>dpowiedzialność</w:t>
      </w:r>
      <w:r w:rsidR="008B4A61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PCBC za szkody wynikłe z niewykonania lub nienależytego wykonania postanowień niniejszej umowy oraz </w:t>
      </w:r>
      <w:r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 </w:t>
      </w:r>
      <w:r w:rsidR="008B4A61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szkody spowodowane przez podwykonawców </w:t>
      </w:r>
      <w:r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>PCBC</w:t>
      </w:r>
      <w:r w:rsidR="00A7449F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r w:rsidR="00D4665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oraz </w:t>
      </w:r>
      <w:r w:rsidR="00A7449F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>ekspertów i aud</w:t>
      </w:r>
      <w:r w:rsidR="00D4665D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A7449F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>torów)</w:t>
      </w:r>
      <w:r w:rsidR="008B4A61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jest ograniczona do wysokości </w:t>
      </w:r>
      <w:r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opłat zapłaconych przez Producenta </w:t>
      </w:r>
      <w:r w:rsidR="008B4A61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>na rzecz</w:t>
      </w:r>
      <w:r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PCBC, jako</w:t>
      </w:r>
      <w:r w:rsidR="008B4A61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jednostki </w:t>
      </w:r>
      <w:r w:rsidR="00D4665D">
        <w:rPr>
          <w:rFonts w:asciiTheme="majorHAnsi" w:hAnsiTheme="majorHAnsi" w:cstheme="majorHAnsi"/>
          <w:color w:val="000000" w:themeColor="text1"/>
          <w:sz w:val="22"/>
          <w:szCs w:val="22"/>
        </w:rPr>
        <w:t>notyfikowanej</w:t>
      </w:r>
      <w:r w:rsidR="00D4665D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342A5" w:rsidRPr="00C45AE1">
        <w:rPr>
          <w:rFonts w:asciiTheme="majorHAnsi" w:hAnsiTheme="majorHAnsi" w:cs="Segoe UI"/>
          <w:color w:val="242424"/>
          <w:sz w:val="22"/>
          <w:szCs w:val="22"/>
        </w:rPr>
        <w:t xml:space="preserve">z tytułu </w:t>
      </w:r>
      <w:r w:rsidR="007342A5">
        <w:rPr>
          <w:rFonts w:asciiTheme="majorHAnsi" w:hAnsiTheme="majorHAnsi" w:cs="Segoe UI"/>
          <w:color w:val="242424"/>
          <w:sz w:val="22"/>
          <w:szCs w:val="22"/>
        </w:rPr>
        <w:t>o</w:t>
      </w:r>
      <w:r w:rsidR="007342A5" w:rsidRPr="00C45AE1">
        <w:rPr>
          <w:rFonts w:asciiTheme="majorHAnsi" w:hAnsiTheme="majorHAnsi" w:cs="Segoe UI"/>
          <w:color w:val="242424"/>
          <w:sz w:val="22"/>
          <w:szCs w:val="22"/>
        </w:rPr>
        <w:t>ceny zgodności (certyfikacji) konkretnego Produktu nawozowego UE,</w:t>
      </w:r>
      <w:r w:rsidR="0002350A">
        <w:rPr>
          <w:rFonts w:asciiTheme="majorHAnsi" w:hAnsiTheme="majorHAnsi" w:cs="Segoe UI"/>
          <w:color w:val="242424"/>
          <w:sz w:val="22"/>
          <w:szCs w:val="22"/>
        </w:rPr>
        <w:t xml:space="preserve"> </w:t>
      </w:r>
      <w:r w:rsidR="007342A5" w:rsidRPr="00C45AE1">
        <w:rPr>
          <w:rFonts w:asciiTheme="majorHAnsi" w:hAnsiTheme="majorHAnsi" w:cs="Segoe UI"/>
          <w:color w:val="242424"/>
          <w:sz w:val="22"/>
          <w:szCs w:val="22"/>
        </w:rPr>
        <w:t>w związku z którym szkoda wystąpił</w:t>
      </w:r>
      <w:r w:rsidR="007342A5">
        <w:rPr>
          <w:rFonts w:asciiTheme="majorHAnsi" w:hAnsiTheme="majorHAnsi" w:cs="Segoe UI"/>
          <w:color w:val="242424"/>
          <w:sz w:val="22"/>
          <w:szCs w:val="22"/>
        </w:rPr>
        <w:t>a</w:t>
      </w:r>
      <w:r w:rsidR="008B4A61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8B4A61"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Odpowiedzialność PCBC nie obejmuje utraconych korzyści w rozumieniu art. 361 Kodeksu Cywilnego.</w:t>
      </w:r>
    </w:p>
    <w:p w14:paraId="091B1B52" w14:textId="28094AA7" w:rsidR="00A65139" w:rsidRPr="00FC112D" w:rsidRDefault="00A65139" w:rsidP="00A65139">
      <w:pPr>
        <w:shd w:val="clear" w:color="auto" w:fill="FFFFFF"/>
        <w:ind w:left="709" w:hanging="709"/>
        <w:jc w:val="both"/>
        <w:rPr>
          <w:rFonts w:asciiTheme="majorHAnsi" w:hAnsiTheme="majorHAnsi" w:cs="Segoe UI"/>
          <w:color w:val="242424"/>
          <w:sz w:val="22"/>
          <w:szCs w:val="22"/>
        </w:rPr>
      </w:pPr>
      <w:r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>11.</w:t>
      </w:r>
      <w:r w:rsidRPr="007342A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FC112D">
        <w:rPr>
          <w:rFonts w:asciiTheme="majorHAnsi" w:hAnsiTheme="majorHAnsi" w:cs="Segoe UI"/>
          <w:color w:val="242424"/>
          <w:sz w:val="22"/>
          <w:szCs w:val="22"/>
        </w:rPr>
        <w:t xml:space="preserve">Dla uniknięcia wątpliwości Strony wskazują, że niewykonanie lub nienależyte wykonanie niniejszej umowy nie następuje z winy PCBC, w szczególności jeżeli pozostaje w związku z ogłoszeniem </w:t>
      </w:r>
      <w:r w:rsidR="00405F40">
        <w:rPr>
          <w:rFonts w:asciiTheme="majorHAnsi" w:hAnsiTheme="majorHAnsi" w:cs="Segoe UI"/>
          <w:color w:val="242424"/>
          <w:sz w:val="22"/>
          <w:szCs w:val="22"/>
        </w:rPr>
        <w:t>nieznanych w chwili dokonywania</w:t>
      </w:r>
      <w:r w:rsidRPr="00FC112D">
        <w:rPr>
          <w:rFonts w:asciiTheme="majorHAnsi" w:hAnsiTheme="majorHAnsi" w:cs="Segoe UI"/>
          <w:color w:val="242424"/>
          <w:sz w:val="22"/>
          <w:szCs w:val="22"/>
        </w:rPr>
        <w:t xml:space="preserve"> </w:t>
      </w:r>
      <w:r w:rsidR="00405F40">
        <w:rPr>
          <w:rFonts w:asciiTheme="majorHAnsi" w:hAnsiTheme="majorHAnsi" w:cs="Segoe UI"/>
          <w:color w:val="242424"/>
          <w:sz w:val="22"/>
          <w:szCs w:val="22"/>
        </w:rPr>
        <w:t>o</w:t>
      </w:r>
      <w:r w:rsidRPr="00FC112D">
        <w:rPr>
          <w:rFonts w:asciiTheme="majorHAnsi" w:hAnsiTheme="majorHAnsi" w:cs="Segoe UI"/>
          <w:color w:val="242424"/>
          <w:sz w:val="22"/>
          <w:szCs w:val="22"/>
        </w:rPr>
        <w:t xml:space="preserve">ceny zgodności,  oficjalnych interpretacji przepisów Rozporządzenia (UE) 2019/1009 (np. rozporządzeń wykonawczych), procedur ustalonych na forum jednostek notyfikowanych lub aktów prawnych wydanych na podstawie Rozporządzenia (UE) 2019/1009, z wprowadzeniem nieznanych w chwili dokonywania Oceny zgodności zmian do Rozporządzenia (UE) 2019/1009 lub innych aktów prawnych mających zastosowanie do </w:t>
      </w:r>
      <w:r w:rsidR="00405F40">
        <w:rPr>
          <w:rFonts w:asciiTheme="majorHAnsi" w:hAnsiTheme="majorHAnsi" w:cs="Segoe UI"/>
          <w:color w:val="242424"/>
          <w:sz w:val="22"/>
          <w:szCs w:val="22"/>
        </w:rPr>
        <w:t xml:space="preserve">niniejszej </w:t>
      </w:r>
      <w:r w:rsidRPr="00FC112D">
        <w:rPr>
          <w:rFonts w:asciiTheme="majorHAnsi" w:hAnsiTheme="majorHAnsi" w:cs="Segoe UI"/>
          <w:color w:val="242424"/>
          <w:sz w:val="22"/>
          <w:szCs w:val="22"/>
        </w:rPr>
        <w:t xml:space="preserve">umowy (w tym o charakterze </w:t>
      </w:r>
      <w:proofErr w:type="spellStart"/>
      <w:r w:rsidRPr="00FC112D">
        <w:rPr>
          <w:rFonts w:asciiTheme="majorHAnsi" w:hAnsiTheme="majorHAnsi" w:cs="Segoe UI"/>
          <w:color w:val="242424"/>
          <w:sz w:val="22"/>
          <w:szCs w:val="22"/>
        </w:rPr>
        <w:t>soft</w:t>
      </w:r>
      <w:proofErr w:type="spellEnd"/>
      <w:r w:rsidRPr="00FC112D">
        <w:rPr>
          <w:rFonts w:asciiTheme="majorHAnsi" w:hAnsiTheme="majorHAnsi" w:cs="Segoe UI"/>
          <w:color w:val="242424"/>
          <w:sz w:val="22"/>
          <w:szCs w:val="22"/>
        </w:rPr>
        <w:t xml:space="preserve"> law).</w:t>
      </w:r>
    </w:p>
    <w:p w14:paraId="3B96000C" w14:textId="0AF67D99" w:rsidR="00224C10" w:rsidRDefault="00A65139" w:rsidP="00FC112D">
      <w:pPr>
        <w:widowControl w:val="0"/>
        <w:spacing w:beforeLines="20" w:before="48" w:afterLines="20" w:after="48"/>
        <w:ind w:left="709" w:hanging="709"/>
        <w:jc w:val="both"/>
        <w:rPr>
          <w:rFonts w:asciiTheme="majorHAnsi" w:hAnsiTheme="majorHAnsi" w:cstheme="minorHAnsi"/>
          <w:spacing w:val="-2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12.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156965" w:rsidRPr="00DD5548">
        <w:rPr>
          <w:rFonts w:asciiTheme="majorHAnsi" w:hAnsiTheme="majorHAnsi" w:cstheme="minorHAnsi"/>
          <w:spacing w:val="-2"/>
          <w:sz w:val="22"/>
          <w:szCs w:val="22"/>
        </w:rPr>
        <w:t xml:space="preserve">Odpowiedzialność </w:t>
      </w:r>
      <w:r>
        <w:rPr>
          <w:rFonts w:asciiTheme="majorHAnsi" w:hAnsiTheme="majorHAnsi" w:cstheme="minorHAnsi"/>
          <w:spacing w:val="-2"/>
          <w:sz w:val="22"/>
          <w:szCs w:val="22"/>
        </w:rPr>
        <w:t xml:space="preserve">PCBC </w:t>
      </w:r>
      <w:r w:rsidR="00156965" w:rsidRPr="00DD5548">
        <w:rPr>
          <w:rFonts w:asciiTheme="majorHAnsi" w:hAnsiTheme="majorHAnsi" w:cstheme="minorHAnsi"/>
          <w:spacing w:val="-2"/>
          <w:sz w:val="22"/>
          <w:szCs w:val="22"/>
        </w:rPr>
        <w:t xml:space="preserve">za niewykonanie lub nienależyte wykonanie zobowiązań określonych </w:t>
      </w:r>
      <w:r w:rsidR="00D4665D">
        <w:rPr>
          <w:rFonts w:asciiTheme="majorHAnsi" w:hAnsiTheme="majorHAnsi" w:cstheme="minorHAnsi"/>
          <w:spacing w:val="-2"/>
          <w:sz w:val="22"/>
          <w:szCs w:val="22"/>
        </w:rPr>
        <w:br/>
      </w:r>
      <w:r w:rsidR="00156965" w:rsidRPr="00DD5548">
        <w:rPr>
          <w:rFonts w:asciiTheme="majorHAnsi" w:hAnsiTheme="majorHAnsi" w:cstheme="minorHAnsi"/>
          <w:spacing w:val="-2"/>
          <w:sz w:val="22"/>
          <w:szCs w:val="22"/>
        </w:rPr>
        <w:t xml:space="preserve">w </w:t>
      </w:r>
      <w:r>
        <w:rPr>
          <w:rFonts w:asciiTheme="majorHAnsi" w:hAnsiTheme="majorHAnsi" w:cstheme="minorHAnsi"/>
          <w:spacing w:val="-2"/>
          <w:sz w:val="22"/>
          <w:szCs w:val="22"/>
        </w:rPr>
        <w:t>niniejszej u</w:t>
      </w:r>
      <w:r w:rsidR="00156965" w:rsidRPr="00DD5548">
        <w:rPr>
          <w:rFonts w:asciiTheme="majorHAnsi" w:hAnsiTheme="majorHAnsi" w:cstheme="minorHAnsi"/>
          <w:spacing w:val="-2"/>
          <w:sz w:val="22"/>
          <w:szCs w:val="22"/>
        </w:rPr>
        <w:t xml:space="preserve">mowie </w:t>
      </w:r>
      <w:r w:rsidR="00156965" w:rsidRPr="00DD5548">
        <w:rPr>
          <w:rFonts w:asciiTheme="majorHAnsi" w:hAnsiTheme="majorHAnsi" w:cstheme="minorHAnsi"/>
          <w:sz w:val="22"/>
          <w:szCs w:val="22"/>
        </w:rPr>
        <w:t>jest wyłączona, jeżeli niewykonanie lub nienależyte wykonanie to jest bezpośr</w:t>
      </w:r>
      <w:r w:rsidRPr="00A65139">
        <w:rPr>
          <w:rFonts w:asciiTheme="majorHAnsi" w:hAnsiTheme="majorHAnsi" w:cstheme="minorHAnsi"/>
          <w:sz w:val="22"/>
          <w:szCs w:val="22"/>
        </w:rPr>
        <w:t>ednio spowodowane zaistnieniem s</w:t>
      </w:r>
      <w:r w:rsidR="00156965" w:rsidRPr="00DD5548">
        <w:rPr>
          <w:rFonts w:asciiTheme="majorHAnsi" w:hAnsiTheme="majorHAnsi" w:cstheme="minorHAnsi"/>
          <w:sz w:val="22"/>
          <w:szCs w:val="22"/>
        </w:rPr>
        <w:t xml:space="preserve">iły </w:t>
      </w:r>
      <w:r>
        <w:rPr>
          <w:rFonts w:asciiTheme="majorHAnsi" w:hAnsiTheme="majorHAnsi" w:cstheme="minorHAnsi"/>
          <w:sz w:val="22"/>
          <w:szCs w:val="22"/>
        </w:rPr>
        <w:t>w</w:t>
      </w:r>
      <w:r w:rsidR="00156965" w:rsidRPr="00DD5548">
        <w:rPr>
          <w:rFonts w:asciiTheme="majorHAnsi" w:hAnsiTheme="majorHAnsi" w:cstheme="minorHAnsi"/>
          <w:sz w:val="22"/>
          <w:szCs w:val="22"/>
        </w:rPr>
        <w:t>yższej.</w:t>
      </w:r>
      <w:r w:rsid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56965" w:rsidRPr="00DD5548">
        <w:rPr>
          <w:rFonts w:asciiTheme="majorHAnsi" w:hAnsiTheme="majorHAnsi" w:cstheme="minorHAnsi"/>
          <w:spacing w:val="-2"/>
          <w:sz w:val="22"/>
          <w:szCs w:val="22"/>
        </w:rPr>
        <w:t xml:space="preserve">Pod pojęciem Siły Wyższej Strony rozumieją jakiekolwiek </w:t>
      </w:r>
      <w:r w:rsidR="007342A5" w:rsidRPr="007342A5">
        <w:rPr>
          <w:rFonts w:asciiTheme="majorHAnsi" w:hAnsiTheme="majorHAnsi" w:cstheme="minorHAnsi"/>
          <w:spacing w:val="-2"/>
          <w:sz w:val="22"/>
          <w:szCs w:val="22"/>
        </w:rPr>
        <w:t xml:space="preserve">zdarzenie poza kontrolą Stron. </w:t>
      </w:r>
    </w:p>
    <w:p w14:paraId="480AF4A2" w14:textId="77777777" w:rsidR="0088289E" w:rsidRDefault="00224C10" w:rsidP="0088289E">
      <w:pPr>
        <w:pStyle w:val="Akapitzlist"/>
        <w:widowControl w:val="0"/>
        <w:spacing w:beforeLines="20" w:before="48" w:afterLines="20" w:after="48"/>
        <w:ind w:left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13.</w:t>
      </w:r>
      <w:r>
        <w:rPr>
          <w:rFonts w:asciiTheme="majorHAnsi" w:hAnsiTheme="majorHAnsi" w:cstheme="minorHAnsi"/>
          <w:spacing w:val="-2"/>
          <w:sz w:val="22"/>
          <w:szCs w:val="22"/>
        </w:rPr>
        <w:tab/>
      </w:r>
      <w:r w:rsidR="00156965" w:rsidRPr="00FC112D">
        <w:rPr>
          <w:rFonts w:asciiTheme="majorHAnsi" w:hAnsiTheme="majorHAnsi" w:cstheme="minorHAnsi"/>
          <w:spacing w:val="-2"/>
          <w:sz w:val="22"/>
          <w:szCs w:val="22"/>
        </w:rPr>
        <w:t>Za wypadki Siły Wyższej uważane będą następujące wydarzenia:</w:t>
      </w:r>
      <w:r w:rsidR="007342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4AE9752" w14:textId="77D52C21" w:rsidR="00DD5548" w:rsidRPr="009B228A" w:rsidRDefault="00156965" w:rsidP="002B71DD">
      <w:pPr>
        <w:pStyle w:val="Akapitzlist"/>
        <w:widowControl w:val="0"/>
        <w:numPr>
          <w:ilvl w:val="0"/>
          <w:numId w:val="50"/>
        </w:numPr>
        <w:spacing w:beforeLines="20" w:before="48" w:afterLines="20" w:after="48"/>
        <w:ind w:left="127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B228A">
        <w:rPr>
          <w:rFonts w:asciiTheme="majorHAnsi" w:hAnsiTheme="majorHAnsi" w:cstheme="minorHAnsi"/>
          <w:spacing w:val="-2"/>
          <w:sz w:val="22"/>
          <w:szCs w:val="22"/>
        </w:rPr>
        <w:t>działanie żywiołów, powódź, wypadek, pożar, wybuch, epidemia,</w:t>
      </w:r>
      <w:r w:rsidR="00224C10" w:rsidRPr="009B228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F0F14F2" w14:textId="45D92CD2" w:rsidR="007C6091" w:rsidRPr="009B228A" w:rsidRDefault="00156965" w:rsidP="002B71DD">
      <w:pPr>
        <w:pStyle w:val="Akapitzlist"/>
        <w:widowControl w:val="0"/>
        <w:numPr>
          <w:ilvl w:val="0"/>
          <w:numId w:val="50"/>
        </w:numPr>
        <w:spacing w:beforeLines="20" w:before="48" w:afterLines="20" w:after="48"/>
        <w:ind w:left="127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B228A">
        <w:rPr>
          <w:rFonts w:asciiTheme="majorHAnsi" w:hAnsiTheme="majorHAnsi" w:cstheme="minorHAnsi"/>
          <w:spacing w:val="-2"/>
          <w:sz w:val="22"/>
          <w:szCs w:val="22"/>
        </w:rPr>
        <w:t>wojna, groźba wojny, działanie terrorystyczne, mobilizacja, zamieszki, rebelia, sabotaż, powstanie, niepokój społeczny lub rekwizycja</w:t>
      </w:r>
      <w:r w:rsidR="0088289E">
        <w:rPr>
          <w:rFonts w:asciiTheme="majorHAnsi" w:hAnsiTheme="majorHAnsi" w:cstheme="minorHAnsi"/>
          <w:spacing w:val="-2"/>
          <w:sz w:val="22"/>
          <w:szCs w:val="22"/>
        </w:rPr>
        <w:t>,</w:t>
      </w:r>
    </w:p>
    <w:p w14:paraId="7D49F5FB" w14:textId="77777777" w:rsidR="0088289E" w:rsidRPr="0088289E" w:rsidRDefault="00156965" w:rsidP="002B71DD">
      <w:pPr>
        <w:pStyle w:val="Akapitzlist"/>
        <w:widowControl w:val="0"/>
        <w:numPr>
          <w:ilvl w:val="0"/>
          <w:numId w:val="50"/>
        </w:numPr>
        <w:spacing w:beforeLines="20" w:before="48" w:afterLines="20" w:after="48"/>
        <w:ind w:left="127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B228A">
        <w:rPr>
          <w:rFonts w:asciiTheme="majorHAnsi" w:hAnsiTheme="majorHAnsi" w:cstheme="minorHAnsi"/>
          <w:spacing w:val="-2"/>
          <w:sz w:val="22"/>
          <w:szCs w:val="22"/>
        </w:rPr>
        <w:t>strajk, lokauty lub inne handlowe lub przemysłowe spory, w których biorą udział pracownicy Producenta</w:t>
      </w:r>
      <w:r w:rsidR="00224C10" w:rsidRPr="009B228A">
        <w:rPr>
          <w:rFonts w:asciiTheme="majorHAnsi" w:hAnsiTheme="majorHAnsi" w:cstheme="minorHAnsi"/>
          <w:spacing w:val="-2"/>
          <w:sz w:val="22"/>
          <w:szCs w:val="22"/>
        </w:rPr>
        <w:t xml:space="preserve"> lub PCBC</w:t>
      </w:r>
      <w:r w:rsidR="00224C10" w:rsidRPr="00857970">
        <w:rPr>
          <w:rFonts w:asciiTheme="majorHAnsi" w:hAnsiTheme="majorHAnsi" w:cstheme="minorHAnsi"/>
          <w:spacing w:val="-2"/>
          <w:sz w:val="22"/>
          <w:szCs w:val="22"/>
        </w:rPr>
        <w:t xml:space="preserve">, </w:t>
      </w:r>
    </w:p>
    <w:p w14:paraId="323CD926" w14:textId="189C64F8" w:rsidR="00DD5548" w:rsidRPr="00857970" w:rsidRDefault="00224C10" w:rsidP="002B71DD">
      <w:pPr>
        <w:pStyle w:val="Akapitzlist"/>
        <w:widowControl w:val="0"/>
        <w:numPr>
          <w:ilvl w:val="0"/>
          <w:numId w:val="50"/>
        </w:numPr>
        <w:spacing w:beforeLines="20" w:before="48" w:afterLines="20" w:after="48"/>
        <w:ind w:left="127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57970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 xml:space="preserve">awarie techniczne na terenie wykonywania </w:t>
      </w:r>
      <w:r w:rsidRPr="00857970">
        <w:rPr>
          <w:rFonts w:asciiTheme="majorHAnsi" w:hAnsiTheme="majorHAnsi" w:cstheme="minorHAnsi"/>
          <w:spacing w:val="-2"/>
          <w:sz w:val="22"/>
          <w:szCs w:val="22"/>
        </w:rPr>
        <w:t>czynności PCBC wynikających z niniejszej umowy</w:t>
      </w:r>
      <w:r w:rsidR="00405F40" w:rsidRPr="00857970">
        <w:rPr>
          <w:rFonts w:asciiTheme="majorHAnsi" w:hAnsiTheme="majorHAnsi" w:cstheme="minorHAnsi"/>
          <w:spacing w:val="-2"/>
          <w:sz w:val="22"/>
          <w:szCs w:val="22"/>
        </w:rPr>
        <w:t>,</w:t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="0088289E">
        <w:rPr>
          <w:rFonts w:asciiTheme="majorHAnsi" w:hAnsiTheme="majorHAnsi" w:cstheme="minorHAnsi"/>
          <w:spacing w:val="-2"/>
          <w:sz w:val="22"/>
          <w:szCs w:val="22"/>
        </w:rPr>
        <w:br/>
      </w:r>
      <w:r w:rsidRPr="00857970">
        <w:rPr>
          <w:rFonts w:asciiTheme="majorHAnsi" w:hAnsiTheme="majorHAnsi" w:cstheme="minorHAnsi"/>
          <w:spacing w:val="-2"/>
          <w:sz w:val="22"/>
          <w:szCs w:val="22"/>
        </w:rPr>
        <w:t xml:space="preserve">w tym </w:t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>na terenie zakładu Producenta</w:t>
      </w:r>
      <w:r w:rsidR="00405F40" w:rsidRPr="00857970">
        <w:rPr>
          <w:rFonts w:asciiTheme="majorHAnsi" w:hAnsiTheme="majorHAnsi" w:cstheme="minorHAnsi"/>
          <w:spacing w:val="-2"/>
          <w:sz w:val="22"/>
          <w:szCs w:val="22"/>
        </w:rPr>
        <w:t>,</w:t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 xml:space="preserve"> mogące skutkować śmiercią lub ciężkim uszczerbkiem zdrowia osób realizujących </w:t>
      </w:r>
      <w:r w:rsidRPr="00857970">
        <w:rPr>
          <w:rFonts w:asciiTheme="majorHAnsi" w:hAnsiTheme="majorHAnsi" w:cstheme="minorHAnsi"/>
          <w:spacing w:val="-2"/>
          <w:sz w:val="22"/>
          <w:szCs w:val="22"/>
        </w:rPr>
        <w:t>p</w:t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 xml:space="preserve">rzedmiot </w:t>
      </w:r>
      <w:r w:rsidRPr="00857970">
        <w:rPr>
          <w:rFonts w:asciiTheme="majorHAnsi" w:hAnsiTheme="majorHAnsi" w:cstheme="minorHAnsi"/>
          <w:spacing w:val="-2"/>
          <w:sz w:val="22"/>
          <w:szCs w:val="22"/>
        </w:rPr>
        <w:t>niniejszej u</w:t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>mowy.</w:t>
      </w:r>
    </w:p>
    <w:p w14:paraId="04CE9734" w14:textId="42E87950" w:rsidR="00FB1F67" w:rsidRDefault="00156965" w:rsidP="002B71DD">
      <w:pPr>
        <w:widowControl w:val="0"/>
        <w:spacing w:beforeLines="20" w:before="48" w:afterLines="20" w:after="48"/>
        <w:ind w:left="1276"/>
        <w:jc w:val="both"/>
        <w:rPr>
          <w:rFonts w:asciiTheme="majorHAnsi" w:hAnsiTheme="majorHAnsi" w:cstheme="minorHAnsi"/>
          <w:spacing w:val="-2"/>
          <w:sz w:val="22"/>
          <w:szCs w:val="22"/>
        </w:rPr>
      </w:pPr>
      <w:r w:rsidRPr="00FB1F67">
        <w:rPr>
          <w:rFonts w:asciiTheme="majorHAnsi" w:hAnsiTheme="majorHAnsi" w:cstheme="minorHAnsi"/>
          <w:spacing w:val="-2"/>
          <w:sz w:val="22"/>
          <w:szCs w:val="22"/>
        </w:rPr>
        <w:t xml:space="preserve">Nie będą uważanie za przypadki Siły Wyższej: </w:t>
      </w:r>
    </w:p>
    <w:p w14:paraId="1D8310BC" w14:textId="6B82CEF9" w:rsidR="00FB1F67" w:rsidRPr="00FB1F67" w:rsidRDefault="00156965" w:rsidP="002B71DD">
      <w:pPr>
        <w:pStyle w:val="Akapitzlist"/>
        <w:widowControl w:val="0"/>
        <w:numPr>
          <w:ilvl w:val="1"/>
          <w:numId w:val="51"/>
        </w:numPr>
        <w:spacing w:beforeLines="20" w:before="48" w:afterLines="20" w:after="48"/>
        <w:ind w:left="127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B1F67">
        <w:rPr>
          <w:rFonts w:asciiTheme="majorHAnsi" w:hAnsiTheme="majorHAnsi" w:cstheme="minorHAnsi"/>
          <w:spacing w:val="-2"/>
          <w:sz w:val="22"/>
          <w:szCs w:val="22"/>
        </w:rPr>
        <w:t xml:space="preserve">wydarzenia spowodowane przez niedbalstwo lub umyślne zaniechania/działania Strony lub Stron, ich </w:t>
      </w:r>
      <w:r w:rsidR="00224C10" w:rsidRPr="00FB1F67">
        <w:rPr>
          <w:rFonts w:asciiTheme="majorHAnsi" w:hAnsiTheme="majorHAnsi" w:cstheme="minorHAnsi"/>
          <w:spacing w:val="-2"/>
          <w:sz w:val="22"/>
          <w:szCs w:val="22"/>
        </w:rPr>
        <w:t>d</w:t>
      </w:r>
      <w:r w:rsidRPr="00FB1F67">
        <w:rPr>
          <w:rFonts w:asciiTheme="majorHAnsi" w:hAnsiTheme="majorHAnsi" w:cstheme="minorHAnsi"/>
          <w:spacing w:val="-2"/>
          <w:sz w:val="22"/>
          <w:szCs w:val="22"/>
        </w:rPr>
        <w:t>ostawców/</w:t>
      </w:r>
      <w:r w:rsidR="00224C10" w:rsidRPr="00FB1F67">
        <w:rPr>
          <w:rFonts w:asciiTheme="majorHAnsi" w:hAnsiTheme="majorHAnsi" w:cstheme="minorHAnsi"/>
          <w:spacing w:val="-2"/>
          <w:sz w:val="22"/>
          <w:szCs w:val="22"/>
        </w:rPr>
        <w:t>u</w:t>
      </w:r>
      <w:r w:rsidRPr="00FB1F67">
        <w:rPr>
          <w:rFonts w:asciiTheme="majorHAnsi" w:hAnsiTheme="majorHAnsi" w:cstheme="minorHAnsi"/>
          <w:spacing w:val="-2"/>
          <w:sz w:val="22"/>
          <w:szCs w:val="22"/>
        </w:rPr>
        <w:t>sługodawców, agentów, kooperantów lub pracowników, auditorów/ekspertów,</w:t>
      </w:r>
      <w:r w:rsidR="00224C10" w:rsidRPr="00FB1F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3EFC735" w14:textId="3D10F99C" w:rsidR="00FB1F67" w:rsidRPr="00FB1F67" w:rsidRDefault="00156965" w:rsidP="002B71DD">
      <w:pPr>
        <w:pStyle w:val="Akapitzlist"/>
        <w:widowControl w:val="0"/>
        <w:numPr>
          <w:ilvl w:val="1"/>
          <w:numId w:val="51"/>
        </w:numPr>
        <w:spacing w:beforeLines="20" w:before="48" w:afterLines="20" w:after="48"/>
        <w:ind w:left="1276"/>
        <w:jc w:val="both"/>
        <w:rPr>
          <w:rFonts w:asciiTheme="majorHAnsi" w:hAnsiTheme="majorHAnsi" w:cstheme="minorHAnsi"/>
          <w:spacing w:val="-2"/>
          <w:sz w:val="22"/>
          <w:szCs w:val="22"/>
        </w:rPr>
      </w:pPr>
      <w:r w:rsidRPr="00FB1F67">
        <w:rPr>
          <w:rFonts w:asciiTheme="majorHAnsi" w:hAnsiTheme="majorHAnsi" w:cstheme="minorHAnsi"/>
          <w:spacing w:val="-2"/>
          <w:sz w:val="22"/>
          <w:szCs w:val="22"/>
        </w:rPr>
        <w:t>warunki atmosferyczne, które mogły być przewidziane przez Stronę lub -</w:t>
      </w:r>
      <w:r w:rsidR="00224C10" w:rsidRPr="00FB1F67">
        <w:rPr>
          <w:rFonts w:asciiTheme="majorHAnsi" w:hAnsiTheme="majorHAnsi" w:cstheme="minorHAnsi"/>
          <w:spacing w:val="-2"/>
          <w:sz w:val="22"/>
          <w:szCs w:val="22"/>
        </w:rPr>
        <w:t>d</w:t>
      </w:r>
      <w:r w:rsidRPr="00FB1F67">
        <w:rPr>
          <w:rFonts w:asciiTheme="majorHAnsi" w:hAnsiTheme="majorHAnsi" w:cstheme="minorHAnsi"/>
          <w:spacing w:val="-2"/>
          <w:sz w:val="22"/>
          <w:szCs w:val="22"/>
        </w:rPr>
        <w:t>ostawców/</w:t>
      </w:r>
      <w:r w:rsidR="00224C10" w:rsidRPr="00FB1F67">
        <w:rPr>
          <w:rFonts w:asciiTheme="majorHAnsi" w:hAnsiTheme="majorHAnsi" w:cstheme="minorHAnsi"/>
          <w:spacing w:val="-2"/>
          <w:sz w:val="22"/>
          <w:szCs w:val="22"/>
        </w:rPr>
        <w:t>u</w:t>
      </w:r>
      <w:r w:rsidRPr="00FB1F67">
        <w:rPr>
          <w:rFonts w:asciiTheme="majorHAnsi" w:hAnsiTheme="majorHAnsi" w:cstheme="minorHAnsi"/>
          <w:spacing w:val="-2"/>
          <w:sz w:val="22"/>
          <w:szCs w:val="22"/>
        </w:rPr>
        <w:t>sługodawców/</w:t>
      </w:r>
      <w:r w:rsidR="00224C10" w:rsidRPr="00FB1F67">
        <w:rPr>
          <w:rFonts w:asciiTheme="majorHAnsi" w:hAnsiTheme="majorHAnsi" w:cstheme="minorHAnsi"/>
          <w:spacing w:val="-2"/>
          <w:sz w:val="22"/>
          <w:szCs w:val="22"/>
        </w:rPr>
        <w:t>auditorów/p</w:t>
      </w:r>
      <w:r w:rsidRPr="00FB1F67">
        <w:rPr>
          <w:rFonts w:asciiTheme="majorHAnsi" w:hAnsiTheme="majorHAnsi" w:cstheme="minorHAnsi"/>
          <w:spacing w:val="-2"/>
          <w:sz w:val="22"/>
          <w:szCs w:val="22"/>
        </w:rPr>
        <w:t>odwykonawców,</w:t>
      </w:r>
      <w:r w:rsidR="00224C10" w:rsidRPr="00FB1F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ADDAF7E" w14:textId="085A6416" w:rsidR="00224C10" w:rsidRPr="00FB1F67" w:rsidRDefault="00156965" w:rsidP="002B71DD">
      <w:pPr>
        <w:pStyle w:val="Akapitzlist"/>
        <w:widowControl w:val="0"/>
        <w:numPr>
          <w:ilvl w:val="1"/>
          <w:numId w:val="51"/>
        </w:numPr>
        <w:spacing w:beforeLines="20" w:before="48" w:afterLines="20" w:after="48"/>
        <w:ind w:left="1276"/>
        <w:jc w:val="both"/>
        <w:rPr>
          <w:rFonts w:asciiTheme="majorHAnsi" w:hAnsiTheme="majorHAnsi" w:cstheme="minorHAnsi"/>
          <w:spacing w:val="-2"/>
          <w:sz w:val="22"/>
          <w:szCs w:val="22"/>
        </w:rPr>
      </w:pPr>
      <w:r w:rsidRPr="00FB1F67">
        <w:rPr>
          <w:rFonts w:asciiTheme="majorHAnsi" w:hAnsiTheme="majorHAnsi" w:cstheme="minorHAnsi"/>
          <w:spacing w:val="-2"/>
          <w:sz w:val="22"/>
          <w:szCs w:val="22"/>
        </w:rPr>
        <w:t xml:space="preserve">brak wystarczających środków finansowych lub technicznych na realizację </w:t>
      </w:r>
      <w:r w:rsidR="00224C10" w:rsidRPr="00FB1F67">
        <w:rPr>
          <w:rFonts w:asciiTheme="majorHAnsi" w:hAnsiTheme="majorHAnsi" w:cstheme="minorHAnsi"/>
          <w:spacing w:val="-2"/>
          <w:sz w:val="22"/>
          <w:szCs w:val="22"/>
        </w:rPr>
        <w:t>p</w:t>
      </w:r>
      <w:r w:rsidRPr="00FB1F67">
        <w:rPr>
          <w:rFonts w:asciiTheme="majorHAnsi" w:hAnsiTheme="majorHAnsi" w:cstheme="minorHAnsi"/>
          <w:spacing w:val="-2"/>
          <w:sz w:val="22"/>
          <w:szCs w:val="22"/>
        </w:rPr>
        <w:t xml:space="preserve">rzedmiotu </w:t>
      </w:r>
      <w:r w:rsidR="00224C10" w:rsidRPr="00FB1F67">
        <w:rPr>
          <w:rFonts w:asciiTheme="majorHAnsi" w:hAnsiTheme="majorHAnsi" w:cstheme="minorHAnsi"/>
          <w:spacing w:val="-2"/>
          <w:sz w:val="22"/>
          <w:szCs w:val="22"/>
        </w:rPr>
        <w:t>niniejszej u</w:t>
      </w:r>
      <w:r w:rsidRPr="00FB1F67">
        <w:rPr>
          <w:rFonts w:asciiTheme="majorHAnsi" w:hAnsiTheme="majorHAnsi" w:cstheme="minorHAnsi"/>
          <w:spacing w:val="-2"/>
          <w:sz w:val="22"/>
          <w:szCs w:val="22"/>
        </w:rPr>
        <w:t>mowy</w:t>
      </w:r>
      <w:r w:rsidR="00224C10" w:rsidRPr="00FB1F67">
        <w:rPr>
          <w:rFonts w:asciiTheme="majorHAnsi" w:hAnsiTheme="majorHAnsi" w:cstheme="minorHAnsi"/>
          <w:spacing w:val="-2"/>
          <w:sz w:val="22"/>
          <w:szCs w:val="22"/>
        </w:rPr>
        <w:t>.</w:t>
      </w:r>
    </w:p>
    <w:p w14:paraId="62FD7680" w14:textId="699987AD" w:rsidR="00156965" w:rsidRDefault="00224C10" w:rsidP="00FC112D">
      <w:pPr>
        <w:widowControl w:val="0"/>
        <w:spacing w:beforeLines="20" w:before="48" w:afterLines="20" w:after="48"/>
        <w:ind w:left="709" w:hanging="709"/>
        <w:jc w:val="both"/>
        <w:rPr>
          <w:rFonts w:asciiTheme="majorHAnsi" w:hAnsiTheme="majorHAnsi" w:cstheme="minorHAnsi"/>
          <w:spacing w:val="-2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14.</w:t>
      </w:r>
      <w:r>
        <w:rPr>
          <w:rFonts w:asciiTheme="majorHAnsi" w:hAnsiTheme="majorHAnsi" w:cstheme="minorHAnsi"/>
          <w:spacing w:val="-2"/>
          <w:sz w:val="22"/>
          <w:szCs w:val="22"/>
        </w:rPr>
        <w:tab/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>Strona powołująca się na Siłę Wyższą jest zobowiązana do niezwłocznego powiadomienia drugiej Strony, najpóźniej do 5 (słownie: pięciu) dni od jej wystąpienia.</w:t>
      </w:r>
      <w:r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>Ustanie Siły Wyższej powinno zostać zgłoszone drugiej Stronie niezwłocznie.</w:t>
      </w:r>
    </w:p>
    <w:p w14:paraId="30B7E7D7" w14:textId="238E2F34" w:rsidR="00156965" w:rsidRDefault="00224C10" w:rsidP="00FC112D">
      <w:pPr>
        <w:widowControl w:val="0"/>
        <w:spacing w:beforeLines="20" w:before="48" w:afterLines="20" w:after="48"/>
        <w:ind w:left="709" w:hanging="709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15.</w:t>
      </w:r>
      <w:r>
        <w:rPr>
          <w:rFonts w:asciiTheme="majorHAnsi" w:hAnsiTheme="majorHAnsi" w:cstheme="minorHAnsi"/>
          <w:spacing w:val="-2"/>
          <w:sz w:val="22"/>
          <w:szCs w:val="22"/>
        </w:rPr>
        <w:tab/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 xml:space="preserve">PCBC niezależnie od prawa do przedłużenia terminu umownego realizacji </w:t>
      </w:r>
      <w:r>
        <w:rPr>
          <w:rFonts w:asciiTheme="majorHAnsi" w:hAnsiTheme="majorHAnsi" w:cstheme="minorHAnsi"/>
          <w:spacing w:val="-2"/>
          <w:sz w:val="22"/>
          <w:szCs w:val="22"/>
        </w:rPr>
        <w:t>danej czynności stanowiącej przedmiot umowy</w:t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 xml:space="preserve"> o czas występowania Siły Wyższej, zobowiązany jest po ustąpieniu przeszkód w realiza</w:t>
      </w:r>
      <w:r w:rsidR="00156965" w:rsidRPr="00857970">
        <w:rPr>
          <w:rFonts w:asciiTheme="majorHAnsi" w:hAnsiTheme="majorHAnsi" w:cstheme="minorHAnsi"/>
          <w:sz w:val="22"/>
          <w:szCs w:val="22"/>
        </w:rPr>
        <w:t xml:space="preserve">cji </w:t>
      </w:r>
      <w:r>
        <w:rPr>
          <w:rFonts w:asciiTheme="majorHAnsi" w:hAnsiTheme="majorHAnsi" w:cstheme="minorHAnsi"/>
          <w:sz w:val="22"/>
          <w:szCs w:val="22"/>
        </w:rPr>
        <w:t>niniejszej u</w:t>
      </w:r>
      <w:r w:rsidR="00156965" w:rsidRPr="00857970">
        <w:rPr>
          <w:rFonts w:asciiTheme="majorHAnsi" w:hAnsiTheme="majorHAnsi" w:cstheme="minorHAnsi"/>
          <w:sz w:val="22"/>
          <w:szCs w:val="22"/>
        </w:rPr>
        <w:t>mowy spowodowanych zaistnieniem Siły Wyższej, dołożyć wszelkich starań do nadrobienia zaległości powstałych w wyniku Siły Wyższej.</w:t>
      </w:r>
    </w:p>
    <w:p w14:paraId="103F3CDC" w14:textId="3696D5FD" w:rsidR="00156965" w:rsidRDefault="00224C10" w:rsidP="00FC112D">
      <w:pPr>
        <w:widowControl w:val="0"/>
        <w:spacing w:beforeLines="20" w:before="48" w:afterLines="20" w:after="48"/>
        <w:ind w:left="709" w:hanging="709"/>
        <w:jc w:val="both"/>
        <w:rPr>
          <w:rFonts w:asciiTheme="majorHAnsi" w:hAnsiTheme="majorHAnsi" w:cstheme="minorHAnsi"/>
          <w:spacing w:val="-2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16.</w:t>
      </w:r>
      <w:r>
        <w:rPr>
          <w:rFonts w:asciiTheme="majorHAnsi" w:hAnsiTheme="majorHAnsi" w:cstheme="minorHAnsi"/>
          <w:spacing w:val="-2"/>
          <w:sz w:val="22"/>
          <w:szCs w:val="22"/>
        </w:rPr>
        <w:tab/>
      </w:r>
      <w:r w:rsidR="00156965" w:rsidRPr="00857970">
        <w:rPr>
          <w:rFonts w:asciiTheme="majorHAnsi" w:hAnsiTheme="majorHAnsi" w:cstheme="minorHAnsi"/>
          <w:sz w:val="22"/>
          <w:szCs w:val="22"/>
        </w:rPr>
        <w:t xml:space="preserve">W przypadku trwania Siły Wyższej powyżej 4 (słownie: czterech) tygodni Strony przystąpią </w:t>
      </w:r>
      <w:r w:rsidR="00156965" w:rsidRPr="00857970">
        <w:rPr>
          <w:rFonts w:asciiTheme="majorHAnsi" w:hAnsiTheme="majorHAnsi" w:cstheme="minorHAnsi"/>
          <w:sz w:val="22"/>
          <w:szCs w:val="22"/>
        </w:rPr>
        <w:br/>
        <w:t xml:space="preserve">do rozmów celem </w:t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 xml:space="preserve">ustalenia nowych warunków </w:t>
      </w:r>
      <w:r>
        <w:rPr>
          <w:rFonts w:asciiTheme="majorHAnsi" w:hAnsiTheme="majorHAnsi" w:cstheme="minorHAnsi"/>
          <w:spacing w:val="-2"/>
          <w:sz w:val="22"/>
          <w:szCs w:val="22"/>
        </w:rPr>
        <w:t>niniejszej u</w:t>
      </w:r>
      <w:r w:rsidR="00156965" w:rsidRPr="00857970">
        <w:rPr>
          <w:rFonts w:asciiTheme="majorHAnsi" w:hAnsiTheme="majorHAnsi" w:cstheme="minorHAnsi"/>
          <w:spacing w:val="-2"/>
          <w:sz w:val="22"/>
          <w:szCs w:val="22"/>
        </w:rPr>
        <w:t>mowy lub jej rozwiązania.</w:t>
      </w:r>
    </w:p>
    <w:p w14:paraId="3EB69C2B" w14:textId="50BFD134" w:rsidR="006D4193" w:rsidRDefault="00224C10" w:rsidP="00FC112D">
      <w:pPr>
        <w:widowControl w:val="0"/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17.</w:t>
      </w:r>
      <w:r>
        <w:rPr>
          <w:rFonts w:asciiTheme="majorHAnsi" w:hAnsiTheme="majorHAnsi" w:cstheme="minorHAnsi"/>
          <w:spacing w:val="-2"/>
          <w:sz w:val="22"/>
          <w:szCs w:val="22"/>
        </w:rPr>
        <w:tab/>
      </w:r>
      <w:r w:rsidR="00655579" w:rsidRPr="006D419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Rozwiązanie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niniejszej u</w:t>
      </w:r>
      <w:r w:rsidRPr="006D419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mowy </w:t>
      </w:r>
      <w:r w:rsidR="00655579" w:rsidRPr="006D4193">
        <w:rPr>
          <w:rFonts w:asciiTheme="majorHAnsi" w:hAnsiTheme="majorHAnsi" w:cstheme="majorHAnsi"/>
          <w:color w:val="000000" w:themeColor="text1"/>
          <w:sz w:val="22"/>
          <w:szCs w:val="22"/>
        </w:rPr>
        <w:t>lub wszelkie zmiany w niej wymagają formy pisemnej pod rygorem nieważności.</w:t>
      </w:r>
    </w:p>
    <w:p w14:paraId="0D6AF51C" w14:textId="61258312" w:rsidR="00337E50" w:rsidRDefault="00224C10" w:rsidP="00FC112D">
      <w:pPr>
        <w:widowControl w:val="0"/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18.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655579" w:rsidRPr="006D419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Nini</w:t>
      </w:r>
      <w:r w:rsidR="00FA7B13" w:rsidRPr="006D419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ejsza</w:t>
      </w:r>
      <w:r w:rsidR="00655579" w:rsidRPr="006D419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</w:t>
      </w:r>
      <w:r w:rsidRPr="006D419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mowa </w:t>
      </w:r>
      <w:r w:rsidR="00FA7B13" w:rsidRPr="006D419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</w:t>
      </w:r>
      <w:r w:rsidR="00394748" w:rsidRPr="0039474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zakresie, w którym nie odnosi się do zadań/obowiązków/praw oznaczonych Rozporządzeniem (UE) 2019/1009 </w:t>
      </w:r>
      <w:r w:rsidR="008E75D5">
        <w:rPr>
          <w:rFonts w:asciiTheme="majorHAnsi" w:hAnsiTheme="majorHAnsi" w:cstheme="majorHAnsi"/>
          <w:sz w:val="22"/>
          <w:szCs w:val="22"/>
        </w:rPr>
        <w:t xml:space="preserve"> </w:t>
      </w:r>
      <w:r w:rsidR="00FA7B13" w:rsidRPr="006D4193">
        <w:rPr>
          <w:rFonts w:asciiTheme="majorHAnsi" w:hAnsiTheme="majorHAnsi" w:cstheme="majorHAnsi"/>
          <w:sz w:val="22"/>
          <w:szCs w:val="22"/>
        </w:rPr>
        <w:t>podlega prawu polskiemu.</w:t>
      </w:r>
    </w:p>
    <w:p w14:paraId="6815828E" w14:textId="055AA673" w:rsidR="008E75D5" w:rsidRDefault="00224C10" w:rsidP="00FC112D">
      <w:pPr>
        <w:widowControl w:val="0"/>
        <w:spacing w:beforeLines="20" w:before="48" w:afterLines="20" w:after="48"/>
        <w:ind w:left="709" w:hanging="709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19.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E75D5" w:rsidRPr="008E75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Strony zobowiązują się każdorazowo interpretować treść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niniejszej u</w:t>
      </w:r>
      <w:r w:rsidRPr="008E75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mowy </w:t>
      </w:r>
      <w:r w:rsidR="008E75D5" w:rsidRPr="008E75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zgodnie </w:t>
      </w:r>
      <w:r w:rsidR="001018E3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8E75D5" w:rsidRPr="008E75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Rozporządzeniem (UE) 2019/1009 w odniesieniu do zadań/obowiązków/praw wprost oznaczonych w Rozporządzeniu (UE) 2019/1009. Ww. interpretacja w żadnym przypadku nie może zmierzać do rozszerzenia odpowiedzialności PCBC, o której mowa w ust. </w:t>
      </w:r>
      <w:r w:rsidR="0081007C">
        <w:rPr>
          <w:rFonts w:asciiTheme="majorHAnsi" w:hAnsiTheme="majorHAnsi" w:cstheme="majorHAnsi"/>
          <w:color w:val="000000" w:themeColor="text1"/>
          <w:sz w:val="22"/>
          <w:szCs w:val="22"/>
        </w:rPr>
        <w:t>10</w:t>
      </w:r>
      <w:r w:rsidR="0081007C" w:rsidRPr="008E75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E75D5" w:rsidRPr="008E75D5">
        <w:rPr>
          <w:rFonts w:asciiTheme="majorHAnsi" w:hAnsiTheme="majorHAnsi" w:cstheme="majorHAnsi"/>
          <w:color w:val="000000" w:themeColor="text1"/>
          <w:sz w:val="22"/>
          <w:szCs w:val="22"/>
        </w:rPr>
        <w:t>powyżej</w:t>
      </w:r>
      <w:r w:rsidR="008E75D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4CA80CD8" w14:textId="026F304F" w:rsidR="00337E50" w:rsidRDefault="0081007C" w:rsidP="009E37F0">
      <w:pPr>
        <w:widowControl w:val="0"/>
        <w:spacing w:beforeLines="20" w:before="48" w:afterLines="20" w:after="48"/>
        <w:ind w:left="709" w:hanging="70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20.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Wszelkie spory, mogące powstać w czasie realizacji </w:t>
      </w:r>
      <w:r w:rsidR="00C2758B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mowy</w:t>
      </w:r>
      <w:r w:rsidR="000F3162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będą rozstrzygane na drodze</w:t>
      </w:r>
      <w:r w:rsidR="00566A7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E75D5">
        <w:rPr>
          <w:rFonts w:asciiTheme="majorHAnsi" w:hAnsiTheme="majorHAnsi" w:cstheme="majorHAnsi"/>
          <w:color w:val="000000" w:themeColor="text1"/>
          <w:sz w:val="22"/>
          <w:szCs w:val="22"/>
        </w:rPr>
        <w:t>negocjacji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 W przypadku niemożności rozwiązania kwestii spornych</w:t>
      </w:r>
      <w:r w:rsidR="00B46AE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, w tym m.in.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zakresie interpretacji lub wykonania niniejszej </w:t>
      </w:r>
      <w:r w:rsidR="00C2758B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mowy na drodze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negocjacji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B46AE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spory pomiędzy stronami niniejszej umowy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będą </w:t>
      </w:r>
      <w:r w:rsidR="00B46AE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rozstrzygane przez </w:t>
      </w:r>
      <w:r w:rsidR="0093126A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polski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sąd </w:t>
      </w:r>
      <w:r w:rsidR="00B46AE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właściwy miejscowo ze względu na siedzibę </w:t>
      </w:r>
      <w:r w:rsidR="00655579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PCBC </w:t>
      </w:r>
      <w:r w:rsidR="00B46AE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według prawa polskiego</w:t>
      </w:r>
      <w:r w:rsidR="008E75D5">
        <w:rPr>
          <w:rFonts w:asciiTheme="majorHAnsi" w:hAnsiTheme="majorHAnsi" w:cstheme="majorHAnsi"/>
          <w:color w:val="000000" w:themeColor="text1"/>
          <w:sz w:val="22"/>
          <w:szCs w:val="22"/>
        </w:rPr>
        <w:t>, w języku polskim</w:t>
      </w:r>
      <w:r w:rsidR="00B46AE3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75E1874" w14:textId="6AEEED9E" w:rsidR="00426743" w:rsidRDefault="0081007C" w:rsidP="00FC112D">
      <w:pPr>
        <w:widowControl w:val="0"/>
        <w:spacing w:beforeLines="20" w:before="48" w:afterLines="20" w:after="48"/>
        <w:ind w:left="700" w:hanging="70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21.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655579" w:rsidRPr="00161B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Umowę niniejszą sporządzono w dwóch jednobrzmiących egzemplarzach, po jednym dla każdej ze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161B75">
        <w:rPr>
          <w:rFonts w:asciiTheme="majorHAnsi" w:hAnsiTheme="majorHAnsi" w:cstheme="majorHAnsi"/>
          <w:color w:val="000000" w:themeColor="text1"/>
          <w:sz w:val="22"/>
          <w:szCs w:val="22"/>
        </w:rPr>
        <w:t>tron</w:t>
      </w:r>
      <w:r w:rsidR="00FF5966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161B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813AD" w:rsidRPr="00161B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jeśli podpisywana jest w wersji papierowej lub </w:t>
      </w:r>
      <w:r w:rsidR="00161B75" w:rsidRPr="00161B75">
        <w:rPr>
          <w:rFonts w:asciiTheme="majorHAnsi" w:hAnsiTheme="majorHAnsi" w:cstheme="majorHAnsi"/>
          <w:color w:val="000000" w:themeColor="text1"/>
          <w:sz w:val="22"/>
          <w:szCs w:val="22"/>
        </w:rPr>
        <w:t>w formie elektronicznej, podpisanej przez upoważnionych przedstawicieli</w:t>
      </w:r>
      <w:r w:rsidR="00FC112D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9D0EEDC" w14:textId="0B9CC0CD" w:rsidR="00FC112D" w:rsidRPr="00161B75" w:rsidRDefault="00FC112D" w:rsidP="00FC112D">
      <w:pPr>
        <w:widowControl w:val="0"/>
        <w:spacing w:beforeLines="20" w:before="48" w:afterLines="20" w:after="48"/>
        <w:ind w:left="700" w:hanging="70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22.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Załączniki do niniejszej umowy stanowią jej integralna część. </w:t>
      </w:r>
    </w:p>
    <w:p w14:paraId="1FDD0511" w14:textId="77777777" w:rsidR="00426743" w:rsidRPr="00CE2931" w:rsidRDefault="00426743" w:rsidP="00454F09">
      <w:pPr>
        <w:widowControl w:val="0"/>
        <w:spacing w:beforeLines="20" w:before="48" w:afterLines="20" w:after="4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D18185E" w14:textId="77777777" w:rsidR="00426743" w:rsidRPr="00CE2931" w:rsidRDefault="00426743" w:rsidP="00454F09">
      <w:pPr>
        <w:widowControl w:val="0"/>
        <w:spacing w:beforeLines="20" w:before="48" w:afterLines="20" w:after="4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Załączniki:</w:t>
      </w:r>
    </w:p>
    <w:p w14:paraId="77801271" w14:textId="7700816E" w:rsidR="00D72AB8" w:rsidRDefault="00D72AB8" w:rsidP="00520BFF">
      <w:pPr>
        <w:widowControl w:val="0"/>
        <w:numPr>
          <w:ilvl w:val="0"/>
          <w:numId w:val="15"/>
        </w:numPr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Załącznik nr </w:t>
      </w:r>
      <w:r w:rsidR="00EA1FB0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520BFF">
        <w:rPr>
          <w:rFonts w:asciiTheme="majorHAnsi" w:hAnsiTheme="majorHAnsi" w:cstheme="majorHAnsi"/>
          <w:sz w:val="22"/>
          <w:szCs w:val="22"/>
        </w:rPr>
        <w:t xml:space="preserve"> – </w:t>
      </w:r>
      <w:r w:rsidR="005447C4" w:rsidRPr="007E53E8">
        <w:rPr>
          <w:rFonts w:asciiTheme="majorHAnsi" w:hAnsiTheme="majorHAnsi" w:cstheme="majorHAnsi"/>
          <w:sz w:val="22"/>
          <w:szCs w:val="22"/>
        </w:rPr>
        <w:t>FBS-N-</w:t>
      </w:r>
      <w:r w:rsidR="005447C4">
        <w:rPr>
          <w:rFonts w:asciiTheme="majorHAnsi" w:hAnsiTheme="majorHAnsi" w:cstheme="majorHAnsi"/>
          <w:sz w:val="22"/>
          <w:szCs w:val="22"/>
        </w:rPr>
        <w:t xml:space="preserve">02-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Kosztorys – zaakceptowany (podpisany) przez Producenta</w:t>
      </w:r>
      <w:r w:rsidR="004D6907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67769E60" w14:textId="3BB33BD7" w:rsidR="004D6907" w:rsidRPr="00697C78" w:rsidRDefault="004D6907" w:rsidP="00520BFF">
      <w:pPr>
        <w:widowControl w:val="0"/>
        <w:numPr>
          <w:ilvl w:val="0"/>
          <w:numId w:val="15"/>
        </w:numPr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EA1FB0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– </w:t>
      </w:r>
      <w:r w:rsidR="005447C4" w:rsidRPr="007E53E8">
        <w:rPr>
          <w:rFonts w:asciiTheme="majorHAnsi" w:hAnsiTheme="majorHAnsi" w:cstheme="majorHAnsi"/>
          <w:sz w:val="22"/>
          <w:szCs w:val="22"/>
        </w:rPr>
        <w:t>FBS-N-</w:t>
      </w:r>
      <w:r w:rsidR="005447C4">
        <w:rPr>
          <w:rFonts w:asciiTheme="majorHAnsi" w:hAnsiTheme="majorHAnsi" w:cstheme="majorHAnsi"/>
          <w:sz w:val="22"/>
          <w:szCs w:val="22"/>
        </w:rPr>
        <w:t xml:space="preserve">55- </w:t>
      </w:r>
      <w:r w:rsidR="00520BFF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świadczenie Producenta 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niezłożeniu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niosku o dokonanie oceny zgodności produktu nawozowego UE objętego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przedmiotem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umow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innej jednostce notyfikowane</w:t>
      </w:r>
      <w:r w:rsidR="00520B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r w:rsidR="00520B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oświadczenie Producenta o 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odrzuc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eniu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przez inną niż PCBC jednostkę notyfikowaną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niosku o dokonanie oceny zgodności produktu nawozowego UE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objętego przedmiotem umow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>y o odmowie</w:t>
      </w:r>
      <w:r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wystawienia certyfikatu</w:t>
      </w:r>
      <w:r w:rsidR="00B42C7F" w:rsidRPr="00B42C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42C7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produktu nawozowego UE objętego 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przedmiotem </w:t>
      </w:r>
      <w:r w:rsidR="00B42C7F" w:rsidRPr="00CE2931">
        <w:rPr>
          <w:rFonts w:asciiTheme="majorHAnsi" w:hAnsiTheme="majorHAnsi" w:cstheme="majorHAnsi"/>
          <w:color w:val="000000" w:themeColor="text1"/>
          <w:sz w:val="22"/>
          <w:szCs w:val="22"/>
        </w:rPr>
        <w:t>umow</w:t>
      </w:r>
      <w:r w:rsidR="00B42C7F">
        <w:rPr>
          <w:rFonts w:asciiTheme="majorHAnsi" w:hAnsiTheme="majorHAnsi" w:cstheme="majorHAnsi"/>
          <w:color w:val="000000" w:themeColor="text1"/>
          <w:sz w:val="22"/>
          <w:szCs w:val="22"/>
        </w:rPr>
        <w:t>y,</w:t>
      </w:r>
    </w:p>
    <w:p w14:paraId="4306B588" w14:textId="229D0817" w:rsidR="00156965" w:rsidRPr="00D44A1C" w:rsidRDefault="004D6907" w:rsidP="00520BFF">
      <w:pPr>
        <w:widowControl w:val="0"/>
        <w:numPr>
          <w:ilvl w:val="0"/>
          <w:numId w:val="15"/>
        </w:numPr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EA1FB0">
        <w:rPr>
          <w:rFonts w:asciiTheme="majorHAnsi" w:hAnsiTheme="majorHAnsi" w:cstheme="majorHAnsi"/>
          <w:sz w:val="22"/>
          <w:szCs w:val="22"/>
        </w:rPr>
        <w:t>3</w:t>
      </w:r>
      <w:r w:rsidR="00520BFF">
        <w:rPr>
          <w:rFonts w:asciiTheme="majorHAnsi" w:hAnsiTheme="majorHAnsi" w:cstheme="majorHAnsi"/>
          <w:sz w:val="22"/>
          <w:szCs w:val="22"/>
        </w:rPr>
        <w:t xml:space="preserve"> – </w:t>
      </w:r>
      <w:r w:rsidR="00156965">
        <w:rPr>
          <w:rFonts w:asciiTheme="majorHAnsi" w:hAnsiTheme="majorHAnsi" w:cstheme="majorHAnsi"/>
          <w:sz w:val="22"/>
          <w:szCs w:val="22"/>
        </w:rPr>
        <w:t>Klauzula informacyjna RODO Producenta</w:t>
      </w:r>
      <w:r w:rsidR="000E7BD0">
        <w:rPr>
          <w:rFonts w:asciiTheme="majorHAnsi" w:hAnsiTheme="majorHAnsi" w:cstheme="majorHAnsi"/>
          <w:sz w:val="22"/>
          <w:szCs w:val="22"/>
        </w:rPr>
        <w:t>,</w:t>
      </w:r>
    </w:p>
    <w:p w14:paraId="2A96E9C7" w14:textId="2A50D3DA" w:rsidR="00053799" w:rsidRPr="006D4193" w:rsidRDefault="00156965" w:rsidP="00520BFF">
      <w:pPr>
        <w:widowControl w:val="0"/>
        <w:numPr>
          <w:ilvl w:val="0"/>
          <w:numId w:val="15"/>
        </w:numPr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EA1FB0">
        <w:rPr>
          <w:rFonts w:asciiTheme="majorHAnsi" w:hAnsiTheme="majorHAnsi" w:cstheme="majorHAnsi"/>
          <w:sz w:val="22"/>
          <w:szCs w:val="22"/>
        </w:rPr>
        <w:t>4</w:t>
      </w:r>
      <w:r w:rsidR="00520BFF">
        <w:rPr>
          <w:rFonts w:asciiTheme="majorHAnsi" w:hAnsiTheme="majorHAnsi" w:cstheme="majorHAnsi"/>
          <w:sz w:val="22"/>
          <w:szCs w:val="22"/>
        </w:rPr>
        <w:t xml:space="preserve"> – </w:t>
      </w:r>
      <w:r w:rsidR="005A4DAC" w:rsidRPr="007E53E8">
        <w:rPr>
          <w:rFonts w:asciiTheme="majorHAnsi" w:hAnsiTheme="majorHAnsi" w:cstheme="majorHAnsi"/>
          <w:sz w:val="22"/>
          <w:szCs w:val="22"/>
        </w:rPr>
        <w:t>FBS-N-</w:t>
      </w:r>
      <w:r w:rsidR="000253D3">
        <w:rPr>
          <w:rFonts w:asciiTheme="majorHAnsi" w:hAnsiTheme="majorHAnsi" w:cstheme="majorHAnsi"/>
          <w:sz w:val="22"/>
          <w:szCs w:val="22"/>
        </w:rPr>
        <w:t>0</w:t>
      </w:r>
      <w:r w:rsidR="005A4DAC" w:rsidRPr="007E53E8">
        <w:rPr>
          <w:rFonts w:asciiTheme="majorHAnsi" w:hAnsiTheme="majorHAnsi" w:cstheme="majorHAnsi"/>
          <w:sz w:val="22"/>
          <w:szCs w:val="22"/>
        </w:rPr>
        <w:t>3</w:t>
      </w:r>
      <w:r w:rsidR="005447C4">
        <w:rPr>
          <w:rFonts w:asciiTheme="majorHAnsi" w:hAnsiTheme="majorHAnsi" w:cstheme="majorHAnsi"/>
          <w:sz w:val="22"/>
          <w:szCs w:val="22"/>
        </w:rPr>
        <w:t>-</w:t>
      </w:r>
      <w:r w:rsidR="005A4DAC" w:rsidRPr="007E53E8">
        <w:rPr>
          <w:rFonts w:asciiTheme="majorHAnsi" w:hAnsiTheme="majorHAnsi" w:cstheme="majorHAnsi"/>
          <w:sz w:val="22"/>
          <w:szCs w:val="22"/>
        </w:rPr>
        <w:t xml:space="preserve"> </w:t>
      </w:r>
      <w:r w:rsidR="004D6907">
        <w:rPr>
          <w:rFonts w:asciiTheme="majorHAnsi" w:hAnsiTheme="majorHAnsi" w:cstheme="majorHAnsi"/>
          <w:sz w:val="22"/>
          <w:szCs w:val="22"/>
        </w:rPr>
        <w:t>Klauzula</w:t>
      </w:r>
      <w:r w:rsidR="004D6907" w:rsidRPr="007E53E8">
        <w:rPr>
          <w:rFonts w:asciiTheme="majorHAnsi" w:hAnsiTheme="majorHAnsi" w:cstheme="majorHAnsi"/>
          <w:sz w:val="22"/>
          <w:szCs w:val="22"/>
        </w:rPr>
        <w:t xml:space="preserve"> informacyjn</w:t>
      </w:r>
      <w:r w:rsidR="004D6907">
        <w:rPr>
          <w:rFonts w:asciiTheme="majorHAnsi" w:hAnsiTheme="majorHAnsi" w:cstheme="majorHAnsi"/>
          <w:sz w:val="22"/>
          <w:szCs w:val="22"/>
        </w:rPr>
        <w:t>a</w:t>
      </w:r>
      <w:r w:rsidR="004D6907" w:rsidRPr="007E53E8">
        <w:rPr>
          <w:rFonts w:asciiTheme="majorHAnsi" w:hAnsiTheme="majorHAnsi" w:cstheme="majorHAnsi"/>
          <w:sz w:val="22"/>
          <w:szCs w:val="22"/>
        </w:rPr>
        <w:t xml:space="preserve"> </w:t>
      </w:r>
      <w:r w:rsidR="004D6907">
        <w:rPr>
          <w:rFonts w:asciiTheme="majorHAnsi" w:hAnsiTheme="majorHAnsi" w:cstheme="majorHAnsi"/>
          <w:sz w:val="22"/>
          <w:szCs w:val="22"/>
        </w:rPr>
        <w:t xml:space="preserve">RODO – obowiązek </w:t>
      </w:r>
      <w:r w:rsidR="005A4DAC" w:rsidRPr="007E53E8">
        <w:rPr>
          <w:rFonts w:asciiTheme="majorHAnsi" w:hAnsiTheme="majorHAnsi" w:cstheme="majorHAnsi"/>
          <w:sz w:val="22"/>
          <w:szCs w:val="22"/>
        </w:rPr>
        <w:t>realizowany w imieniu PCBC</w:t>
      </w:r>
      <w:r w:rsidR="00D55C0B">
        <w:rPr>
          <w:rFonts w:asciiTheme="majorHAnsi" w:hAnsiTheme="majorHAnsi" w:cstheme="majorHAnsi"/>
          <w:sz w:val="22"/>
          <w:szCs w:val="22"/>
        </w:rPr>
        <w:t>,</w:t>
      </w:r>
    </w:p>
    <w:p w14:paraId="386D031E" w14:textId="095C62F4" w:rsidR="002A0442" w:rsidRPr="007E53E8" w:rsidRDefault="004D6907" w:rsidP="00520BFF">
      <w:pPr>
        <w:widowControl w:val="0"/>
        <w:numPr>
          <w:ilvl w:val="0"/>
          <w:numId w:val="15"/>
        </w:numPr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EA1FB0">
        <w:rPr>
          <w:rFonts w:asciiTheme="majorHAnsi" w:hAnsiTheme="majorHAnsi" w:cstheme="majorHAnsi"/>
          <w:sz w:val="22"/>
          <w:szCs w:val="22"/>
        </w:rPr>
        <w:t>5</w:t>
      </w:r>
      <w:r w:rsidR="00520BFF">
        <w:rPr>
          <w:rFonts w:asciiTheme="majorHAnsi" w:hAnsiTheme="majorHAnsi" w:cstheme="majorHAnsi"/>
          <w:sz w:val="22"/>
          <w:szCs w:val="22"/>
        </w:rPr>
        <w:t xml:space="preserve"> – </w:t>
      </w:r>
      <w:r w:rsidR="002A0442">
        <w:rPr>
          <w:rFonts w:asciiTheme="majorHAnsi" w:hAnsiTheme="majorHAnsi" w:cstheme="majorHAnsi"/>
          <w:sz w:val="22"/>
          <w:szCs w:val="22"/>
        </w:rPr>
        <w:t>FBS</w:t>
      </w:r>
      <w:r w:rsidR="006D4193">
        <w:rPr>
          <w:rFonts w:asciiTheme="majorHAnsi" w:hAnsiTheme="majorHAnsi" w:cstheme="majorHAnsi"/>
          <w:sz w:val="22"/>
          <w:szCs w:val="22"/>
        </w:rPr>
        <w:t>-15</w:t>
      </w:r>
      <w:r w:rsidR="00CB1501">
        <w:rPr>
          <w:rFonts w:asciiTheme="majorHAnsi" w:hAnsiTheme="majorHAnsi" w:cstheme="majorHAnsi"/>
          <w:sz w:val="22"/>
          <w:szCs w:val="22"/>
        </w:rPr>
        <w:t>1</w:t>
      </w:r>
      <w:r w:rsidR="005447C4">
        <w:rPr>
          <w:rFonts w:asciiTheme="majorHAnsi" w:hAnsiTheme="majorHAnsi" w:cstheme="majorHAnsi"/>
          <w:sz w:val="22"/>
          <w:szCs w:val="22"/>
        </w:rPr>
        <w:t>-</w:t>
      </w:r>
      <w:r w:rsidR="002A0442">
        <w:rPr>
          <w:rFonts w:asciiTheme="majorHAnsi" w:hAnsiTheme="majorHAnsi" w:cstheme="majorHAnsi"/>
          <w:sz w:val="22"/>
          <w:szCs w:val="22"/>
        </w:rPr>
        <w:t xml:space="preserve"> </w:t>
      </w:r>
      <w:r w:rsidR="00C2758B">
        <w:rPr>
          <w:rFonts w:asciiTheme="majorHAnsi" w:hAnsiTheme="majorHAnsi" w:cstheme="majorHAnsi"/>
          <w:sz w:val="22"/>
          <w:szCs w:val="22"/>
        </w:rPr>
        <w:t>U</w:t>
      </w:r>
      <w:r w:rsidR="00C73F09">
        <w:rPr>
          <w:rFonts w:asciiTheme="majorHAnsi" w:hAnsiTheme="majorHAnsi" w:cstheme="majorHAnsi"/>
          <w:sz w:val="22"/>
          <w:szCs w:val="22"/>
        </w:rPr>
        <w:t>mow</w:t>
      </w:r>
      <w:r w:rsidR="00C2758B">
        <w:rPr>
          <w:rFonts w:asciiTheme="majorHAnsi" w:hAnsiTheme="majorHAnsi" w:cstheme="majorHAnsi"/>
          <w:sz w:val="22"/>
          <w:szCs w:val="22"/>
        </w:rPr>
        <w:t>a</w:t>
      </w:r>
      <w:r w:rsidR="00C73F09">
        <w:rPr>
          <w:rFonts w:asciiTheme="majorHAnsi" w:hAnsiTheme="majorHAnsi" w:cstheme="majorHAnsi"/>
          <w:sz w:val="22"/>
          <w:szCs w:val="22"/>
        </w:rPr>
        <w:t xml:space="preserve">  </w:t>
      </w:r>
      <w:r w:rsidR="006D4193">
        <w:rPr>
          <w:rFonts w:asciiTheme="majorHAnsi" w:hAnsiTheme="majorHAnsi" w:cstheme="majorHAnsi"/>
          <w:sz w:val="22"/>
          <w:szCs w:val="22"/>
        </w:rPr>
        <w:t>powierzenia przetwarzania danych osobowych</w:t>
      </w:r>
      <w:r w:rsidR="00D55C0B">
        <w:rPr>
          <w:rFonts w:asciiTheme="majorHAnsi" w:hAnsiTheme="majorHAnsi" w:cstheme="majorHAnsi"/>
          <w:sz w:val="22"/>
          <w:szCs w:val="22"/>
        </w:rPr>
        <w:t>.</w:t>
      </w:r>
    </w:p>
    <w:p w14:paraId="35D13F41" w14:textId="77777777" w:rsidR="00F55263" w:rsidRPr="00CE2931" w:rsidRDefault="00F55263" w:rsidP="00454F09">
      <w:pPr>
        <w:pStyle w:val="Tekstpodstawowy"/>
        <w:widowControl w:val="0"/>
        <w:spacing w:beforeLines="20" w:before="48" w:afterLines="20" w:after="4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8"/>
      </w:tblGrid>
      <w:tr w:rsidR="00B00D16" w:rsidRPr="00CE2931" w14:paraId="765B34CB" w14:textId="77777777">
        <w:tc>
          <w:tcPr>
            <w:tcW w:w="5031" w:type="dxa"/>
            <w:shd w:val="clear" w:color="auto" w:fill="auto"/>
          </w:tcPr>
          <w:p w14:paraId="03014DC2" w14:textId="7C220A13" w:rsidR="005B5EBA" w:rsidRDefault="00C645B0" w:rsidP="00D44A1C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CE293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PCBC</w:t>
            </w:r>
          </w:p>
          <w:p w14:paraId="1DC52D50" w14:textId="5A225F2E" w:rsidR="00EA1AAB" w:rsidRDefault="00EA1AAB" w:rsidP="00D44A1C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73AA3C61" w14:textId="60271A09" w:rsidR="00EA1AAB" w:rsidRDefault="00EA1AAB" w:rsidP="00D44A1C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571EAE40" w14:textId="4E5860F4" w:rsidR="00EA1AAB" w:rsidRDefault="00EA1AAB" w:rsidP="00D44A1C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F8C48AF" w14:textId="77777777" w:rsidR="00EA1AAB" w:rsidRPr="00CE2931" w:rsidRDefault="00EA1AAB" w:rsidP="00D44A1C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F4E677B" w14:textId="77777777" w:rsidR="00C645B0" w:rsidRPr="00CE2931" w:rsidRDefault="00C645B0" w:rsidP="00D44A1C">
            <w:pPr>
              <w:pStyle w:val="Tekstpodstawowy"/>
              <w:widowControl w:val="0"/>
              <w:tabs>
                <w:tab w:val="center" w:pos="4536"/>
                <w:tab w:val="right" w:pos="9072"/>
              </w:tabs>
              <w:spacing w:beforeLines="20" w:before="48" w:afterLines="20" w:after="48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31" w:type="dxa"/>
            <w:shd w:val="clear" w:color="auto" w:fill="auto"/>
          </w:tcPr>
          <w:p w14:paraId="77011987" w14:textId="77777777" w:rsidR="00C645B0" w:rsidRDefault="00194737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CE293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5510AD0" w14:textId="77777777" w:rsidR="00EA1AAB" w:rsidRDefault="00EA1AAB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2474AF93" w14:textId="77777777" w:rsidR="00EA1AAB" w:rsidRDefault="00EA1AAB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18DDEF84" w14:textId="62D5510B" w:rsidR="00EA1AAB" w:rsidRDefault="00EA1AAB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2C92EDE3" w14:textId="77777777" w:rsidR="00EA1AAB" w:rsidRDefault="00EA1AAB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6DE49CAB" w14:textId="2106B1C1" w:rsidR="00EA1AAB" w:rsidRPr="00CE2931" w:rsidRDefault="00EA1AAB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00D16" w:rsidRPr="00CE2931" w14:paraId="62BBF66B" w14:textId="77777777">
        <w:tc>
          <w:tcPr>
            <w:tcW w:w="5031" w:type="dxa"/>
            <w:shd w:val="clear" w:color="auto" w:fill="auto"/>
          </w:tcPr>
          <w:p w14:paraId="24054682" w14:textId="77777777" w:rsidR="00C645B0" w:rsidRPr="00CE2931" w:rsidRDefault="00C645B0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E293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........................................</w:t>
            </w:r>
          </w:p>
          <w:p w14:paraId="48BD93B0" w14:textId="1FF9E5F4" w:rsidR="00C645B0" w:rsidRPr="00CE2931" w:rsidRDefault="00C645B0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E293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(podpis)</w:t>
            </w:r>
          </w:p>
        </w:tc>
        <w:tc>
          <w:tcPr>
            <w:tcW w:w="5031" w:type="dxa"/>
            <w:shd w:val="clear" w:color="auto" w:fill="auto"/>
          </w:tcPr>
          <w:p w14:paraId="2BD7A8CC" w14:textId="77777777" w:rsidR="00C645B0" w:rsidRPr="00CE2931" w:rsidRDefault="00C645B0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E293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........................................</w:t>
            </w:r>
          </w:p>
          <w:p w14:paraId="0B735621" w14:textId="77777777" w:rsidR="00C645B0" w:rsidRPr="00CE2931" w:rsidRDefault="00C645B0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E293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(podpis)</w:t>
            </w:r>
          </w:p>
        </w:tc>
      </w:tr>
      <w:tr w:rsidR="00C8339E" w:rsidRPr="00CE2931" w14:paraId="1F4B0D81" w14:textId="77777777">
        <w:trPr>
          <w:trHeight w:val="80"/>
        </w:trPr>
        <w:tc>
          <w:tcPr>
            <w:tcW w:w="5031" w:type="dxa"/>
            <w:shd w:val="clear" w:color="auto" w:fill="auto"/>
          </w:tcPr>
          <w:p w14:paraId="2020C82E" w14:textId="77777777" w:rsidR="005B5EBA" w:rsidRPr="00CE2931" w:rsidRDefault="005B5EBA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FE95D2E" w14:textId="0276BC41" w:rsidR="00C645B0" w:rsidRPr="00CE2931" w:rsidRDefault="00C645B0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E293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........................................</w:t>
            </w:r>
          </w:p>
          <w:p w14:paraId="16A8A6A6" w14:textId="77777777" w:rsidR="00C645B0" w:rsidRPr="00CE2931" w:rsidRDefault="00C645B0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E293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(data)</w:t>
            </w:r>
          </w:p>
        </w:tc>
        <w:tc>
          <w:tcPr>
            <w:tcW w:w="5031" w:type="dxa"/>
            <w:shd w:val="clear" w:color="auto" w:fill="auto"/>
          </w:tcPr>
          <w:p w14:paraId="70DA5188" w14:textId="77777777" w:rsidR="005B5EBA" w:rsidRPr="00CE2931" w:rsidRDefault="005B5EBA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F0DE839" w14:textId="39223865" w:rsidR="00C8339E" w:rsidRPr="00CE2931" w:rsidRDefault="00C645B0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E293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........................................</w:t>
            </w:r>
          </w:p>
          <w:p w14:paraId="3392BC35" w14:textId="77777777" w:rsidR="00C645B0" w:rsidRPr="00CE2931" w:rsidRDefault="00C645B0" w:rsidP="00454F09">
            <w:pPr>
              <w:pStyle w:val="Tekstpodstawowy"/>
              <w:widowControl w:val="0"/>
              <w:spacing w:beforeLines="20" w:before="48" w:afterLines="20" w:after="4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E293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(data)</w:t>
            </w:r>
          </w:p>
        </w:tc>
      </w:tr>
    </w:tbl>
    <w:p w14:paraId="434C7DE2" w14:textId="5F009BDC" w:rsidR="007E53E8" w:rsidRDefault="007E53E8" w:rsidP="00454F09">
      <w:pPr>
        <w:widowControl w:val="0"/>
        <w:spacing w:beforeLines="20" w:before="48" w:afterLines="20" w:after="4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5682269" w14:textId="4422F4A8" w:rsidR="007E53E8" w:rsidRDefault="007E53E8" w:rsidP="00454F09">
      <w:pPr>
        <w:widowControl w:val="0"/>
        <w:spacing w:beforeLines="20" w:before="48" w:after="2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br w:type="page"/>
      </w:r>
    </w:p>
    <w:p w14:paraId="4C3C5163" w14:textId="0000E16B" w:rsidR="007E53E8" w:rsidRPr="007E53E8" w:rsidRDefault="007E53E8" w:rsidP="00454F09">
      <w:pPr>
        <w:widowControl w:val="0"/>
        <w:spacing w:beforeLines="20" w:before="48" w:after="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E53E8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Załącznik nr </w:t>
      </w:r>
      <w:r w:rsidR="00D51D35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624CE6" w:rsidRPr="007E53E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E53E8">
        <w:rPr>
          <w:rFonts w:asciiTheme="majorHAnsi" w:hAnsiTheme="majorHAnsi" w:cstheme="majorHAnsi"/>
          <w:b/>
          <w:bCs/>
          <w:sz w:val="22"/>
          <w:szCs w:val="22"/>
        </w:rPr>
        <w:t>do umowy</w:t>
      </w:r>
    </w:p>
    <w:p w14:paraId="50A5922F" w14:textId="3CD476A6" w:rsidR="00CD5700" w:rsidRPr="007E53E8" w:rsidRDefault="00CD5700" w:rsidP="00454F09">
      <w:pPr>
        <w:widowControl w:val="0"/>
        <w:spacing w:beforeLines="20" w:before="48" w:after="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E53E8">
        <w:rPr>
          <w:rFonts w:asciiTheme="majorHAnsi" w:hAnsiTheme="majorHAnsi" w:cstheme="majorHAnsi"/>
          <w:b/>
          <w:bCs/>
          <w:sz w:val="22"/>
          <w:szCs w:val="22"/>
        </w:rPr>
        <w:t>Obowiązek informacyjny realizowany w imieniu PCBC S.A.</w:t>
      </w:r>
    </w:p>
    <w:p w14:paraId="7AE5F175" w14:textId="77777777" w:rsidR="00CD5700" w:rsidRPr="00D55C0B" w:rsidRDefault="00CD5700" w:rsidP="00454F09">
      <w:pPr>
        <w:widowControl w:val="0"/>
        <w:spacing w:beforeLines="20" w:before="48" w:after="20"/>
        <w:rPr>
          <w:rFonts w:asciiTheme="majorHAnsi" w:hAnsiTheme="majorHAnsi" w:cstheme="majorHAnsi"/>
          <w:b/>
          <w:bCs/>
          <w:sz w:val="10"/>
          <w:szCs w:val="10"/>
        </w:rPr>
      </w:pPr>
    </w:p>
    <w:p w14:paraId="626D1448" w14:textId="77777777" w:rsidR="00CD5700" w:rsidRPr="007E53E8" w:rsidRDefault="00CD5700" w:rsidP="00454F09">
      <w:pPr>
        <w:pStyle w:val="Akapitzlist"/>
        <w:widowControl w:val="0"/>
        <w:spacing w:beforeLines="20" w:before="48" w:after="20"/>
        <w:ind w:left="0"/>
        <w:contextualSpacing w:val="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 xml:space="preserve">Realizując obowiązek wynikający z rozporządzenia Parlamentu Europejskiego i Rady (UE) 2016/679 z 27.04.2016 r. w sprawie ochrony osób fizycznych w związku z przetwarzaniem danych osobowych i w sprawie swobodnego przepływu takich danych oraz uchylenia dyrektywy 95/46/WE (ogólne rozporządzenie o ochronie danych) zwanego dalej RODO – informuje się, że: </w:t>
      </w:r>
    </w:p>
    <w:p w14:paraId="0DAFF4E3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b/>
          <w:sz w:val="20"/>
        </w:rPr>
      </w:pPr>
      <w:r w:rsidRPr="007E53E8">
        <w:rPr>
          <w:rFonts w:asciiTheme="majorHAnsi" w:hAnsiTheme="majorHAnsi" w:cstheme="majorHAnsi"/>
          <w:b/>
          <w:sz w:val="20"/>
        </w:rPr>
        <w:t>I. Administrator danych osobowych</w:t>
      </w:r>
    </w:p>
    <w:p w14:paraId="32525D11" w14:textId="5B87CED2" w:rsidR="00CD5700" w:rsidRPr="007E53E8" w:rsidRDefault="00CD5700" w:rsidP="00454F09">
      <w:pPr>
        <w:pStyle w:val="Akapitzlist"/>
        <w:widowControl w:val="0"/>
        <w:spacing w:beforeLines="20" w:before="48" w:after="20"/>
        <w:ind w:left="0"/>
        <w:contextualSpacing w:val="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>Administratorem Pani/Pana danych osobowych jest</w:t>
      </w:r>
      <w:r w:rsidRPr="007E53E8">
        <w:rPr>
          <w:rFonts w:asciiTheme="majorHAnsi" w:hAnsiTheme="majorHAnsi" w:cstheme="majorHAnsi"/>
          <w:b/>
          <w:bCs/>
          <w:sz w:val="20"/>
        </w:rPr>
        <w:t xml:space="preserve"> POLSKIE CENTRUM BADAŃ I CERTYFIKACJI S.A.,</w:t>
      </w:r>
      <w:r w:rsidRPr="007E53E8">
        <w:rPr>
          <w:rFonts w:asciiTheme="majorHAnsi" w:hAnsiTheme="majorHAnsi" w:cstheme="majorHAnsi"/>
          <w:bCs/>
          <w:sz w:val="20"/>
        </w:rPr>
        <w:t xml:space="preserve"> ul. Puławska 469, 02-844 Warszawa</w:t>
      </w:r>
      <w:r w:rsidRPr="007E53E8">
        <w:rPr>
          <w:rFonts w:asciiTheme="majorHAnsi" w:hAnsiTheme="majorHAnsi" w:cstheme="majorHAnsi"/>
          <w:sz w:val="20"/>
        </w:rPr>
        <w:t xml:space="preserve">, </w:t>
      </w:r>
      <w:r w:rsidRPr="007E53E8">
        <w:rPr>
          <w:rFonts w:asciiTheme="majorHAnsi" w:hAnsiTheme="majorHAnsi" w:cstheme="majorHAnsi"/>
          <w:bCs/>
          <w:sz w:val="20"/>
        </w:rPr>
        <w:t xml:space="preserve">zwane dalej </w:t>
      </w:r>
      <w:r w:rsidRPr="007E53E8">
        <w:rPr>
          <w:rFonts w:asciiTheme="majorHAnsi" w:hAnsiTheme="majorHAnsi" w:cstheme="majorHAnsi"/>
          <w:b/>
          <w:sz w:val="20"/>
        </w:rPr>
        <w:t>PCBC S.A.</w:t>
      </w:r>
    </w:p>
    <w:p w14:paraId="1CC91C49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b/>
          <w:sz w:val="20"/>
        </w:rPr>
      </w:pPr>
      <w:r w:rsidRPr="007E53E8">
        <w:rPr>
          <w:rFonts w:asciiTheme="majorHAnsi" w:hAnsiTheme="majorHAnsi" w:cstheme="majorHAnsi"/>
          <w:b/>
          <w:sz w:val="20"/>
        </w:rPr>
        <w:t>II. Inspektor Ochrony Danych</w:t>
      </w:r>
    </w:p>
    <w:p w14:paraId="6A4EDE74" w14:textId="5BA6C2CE" w:rsidR="00CD5700" w:rsidRPr="007E53E8" w:rsidRDefault="00CD5700" w:rsidP="00454F09">
      <w:pPr>
        <w:pStyle w:val="Akapitzlist"/>
        <w:widowControl w:val="0"/>
        <w:spacing w:beforeLines="20" w:before="48" w:after="20"/>
        <w:ind w:left="0"/>
        <w:contextualSpacing w:val="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 xml:space="preserve">Dane kontaktowe Inspektora Ochrony Danych – adres do korespondencji: Inspektor Ochrony Danych, </w:t>
      </w:r>
      <w:r w:rsidRPr="007E53E8">
        <w:rPr>
          <w:rFonts w:asciiTheme="majorHAnsi" w:hAnsiTheme="majorHAnsi" w:cstheme="majorHAnsi"/>
          <w:sz w:val="20"/>
        </w:rPr>
        <w:br/>
      </w:r>
      <w:r w:rsidRPr="007E53E8">
        <w:rPr>
          <w:rFonts w:asciiTheme="majorHAnsi" w:hAnsiTheme="majorHAnsi" w:cstheme="majorHAnsi"/>
          <w:b/>
          <w:bCs/>
          <w:sz w:val="20"/>
        </w:rPr>
        <w:t>POLSKIE CENTRUM BADAŃ I CERTYFIKACJI S.A.,</w:t>
      </w:r>
      <w:r w:rsidRPr="007E53E8">
        <w:rPr>
          <w:rFonts w:asciiTheme="majorHAnsi" w:hAnsiTheme="majorHAnsi" w:cstheme="majorHAnsi"/>
          <w:bCs/>
          <w:sz w:val="20"/>
        </w:rPr>
        <w:t xml:space="preserve"> ul. Puławska 469</w:t>
      </w:r>
      <w:r w:rsidR="0057690B">
        <w:rPr>
          <w:rFonts w:asciiTheme="majorHAnsi" w:hAnsiTheme="majorHAnsi" w:cstheme="majorHAnsi"/>
          <w:bCs/>
          <w:sz w:val="20"/>
        </w:rPr>
        <w:t>,</w:t>
      </w:r>
      <w:r w:rsidRPr="007E53E8">
        <w:rPr>
          <w:rFonts w:asciiTheme="majorHAnsi" w:hAnsiTheme="majorHAnsi" w:cstheme="majorHAnsi"/>
          <w:bCs/>
          <w:sz w:val="20"/>
        </w:rPr>
        <w:t xml:space="preserve"> 02-844 Warszawa</w:t>
      </w:r>
      <w:r w:rsidRPr="007E53E8">
        <w:rPr>
          <w:rFonts w:asciiTheme="majorHAnsi" w:hAnsiTheme="majorHAnsi" w:cstheme="majorHAnsi"/>
          <w:sz w:val="20"/>
        </w:rPr>
        <w:t xml:space="preserve">; email: iod@pcbc.gov.pl. </w:t>
      </w:r>
    </w:p>
    <w:p w14:paraId="6EB90259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b/>
          <w:sz w:val="20"/>
        </w:rPr>
      </w:pPr>
      <w:r w:rsidRPr="007E53E8">
        <w:rPr>
          <w:rFonts w:asciiTheme="majorHAnsi" w:hAnsiTheme="majorHAnsi" w:cstheme="majorHAnsi"/>
          <w:b/>
          <w:sz w:val="20"/>
        </w:rPr>
        <w:t>III. Cele przetwarzania danych i podstawy przetwarzania</w:t>
      </w:r>
    </w:p>
    <w:p w14:paraId="4A9BF3FD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>Administrator będzie przetwarzać Pani/Pana dane w celach:</w:t>
      </w:r>
    </w:p>
    <w:p w14:paraId="5BEBFADD" w14:textId="77777777" w:rsidR="00CD5700" w:rsidRPr="007E53E8" w:rsidRDefault="00CD5700" w:rsidP="00454F09">
      <w:pPr>
        <w:widowControl w:val="0"/>
        <w:spacing w:beforeLines="20" w:before="48" w:after="20"/>
        <w:ind w:left="284" w:hanging="142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>- jeżeli Pan/Pani jest  stroną niniejszej umowy, Pani/Pana dane osobowe przetwarzane będą w celu zawarcia tej umowy i jej realizacji (podstawa prawna art. 6 ust. 1 lit. b) RODO)</w:t>
      </w:r>
    </w:p>
    <w:p w14:paraId="0703D4D8" w14:textId="77777777" w:rsidR="00CD5700" w:rsidRPr="007E53E8" w:rsidRDefault="00CD5700" w:rsidP="00454F09">
      <w:pPr>
        <w:widowControl w:val="0"/>
        <w:spacing w:beforeLines="20" w:before="48" w:after="20"/>
        <w:ind w:left="284" w:hanging="142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 xml:space="preserve">- jeżeli Pan/Pani jest  osobą reprezentującą stronę umowy, wymienioną w części wstępnej Umowy, Pani/Pana dane będą przetwarzane w celu określenia i weryfikacji uprawnienia do reprezentacji podmiotu (podstawa prawna art. 6 ust. 1 lit. f) RODO), </w:t>
      </w:r>
    </w:p>
    <w:p w14:paraId="39090CCE" w14:textId="77777777" w:rsidR="00CD5700" w:rsidRPr="007E53E8" w:rsidRDefault="00CD5700" w:rsidP="00454F09">
      <w:pPr>
        <w:widowControl w:val="0"/>
        <w:spacing w:beforeLines="20" w:before="48" w:after="20"/>
        <w:ind w:left="284" w:hanging="142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>- jeżeli Pan/Pani jest osobą wyznaczoną do kontaktów w związku z realizacją umowy i/lub dokonującą bieżących uzgodnień w związku ze wzajemną współpracą Stron umowy, Pani/Pana dane będą przetwarzane w celu prawidłowej realizacji umowy, zapewnienia bieżącego kontaktu, podtrzymywania współpracy pomiędzy Stronami umowy (podstawa prawna przetwarzania – art. 6 ust. 1 lit. f RODO),</w:t>
      </w:r>
    </w:p>
    <w:p w14:paraId="2B3D065E" w14:textId="77777777" w:rsidR="00CD5700" w:rsidRPr="007E53E8" w:rsidRDefault="00CD5700" w:rsidP="00454F09">
      <w:pPr>
        <w:widowControl w:val="0"/>
        <w:spacing w:beforeLines="20" w:before="48" w:after="20"/>
        <w:ind w:left="284" w:hanging="142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 xml:space="preserve">- w celu ewentualnego ustalenia, dochodzenia lub obrony roszczeń z tytułu prowadzonej przez PCBC S.A. działalności gospodarczej (podstawa prawna art. 6 ust. 1 lit. f) RODO). </w:t>
      </w:r>
    </w:p>
    <w:p w14:paraId="5F29FB38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b/>
          <w:sz w:val="20"/>
        </w:rPr>
      </w:pPr>
      <w:r w:rsidRPr="007E53E8">
        <w:rPr>
          <w:rFonts w:asciiTheme="majorHAnsi" w:hAnsiTheme="majorHAnsi" w:cstheme="majorHAnsi"/>
          <w:b/>
          <w:sz w:val="20"/>
        </w:rPr>
        <w:t>IV. Kategorie danych osobowych</w:t>
      </w:r>
    </w:p>
    <w:p w14:paraId="68978096" w14:textId="77777777" w:rsidR="00CD5700" w:rsidRPr="007E53E8" w:rsidRDefault="00CD5700" w:rsidP="00454F09">
      <w:pPr>
        <w:pStyle w:val="Akapitzlist"/>
        <w:widowControl w:val="0"/>
        <w:spacing w:beforeLines="20" w:before="48" w:after="20"/>
        <w:ind w:left="0"/>
        <w:contextualSpacing w:val="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>Administrator będzie przetwarzać Pani/Pana dane osobowe wyłącznie w ściśle określonym,  niezbędnym zakresie, odpowiednio do określonych powyżej celów. Administrator nie będzie pobierał i przetwarzał żadnych danych nadmiarowych poza danymi niezbędnymi do ustalenia prawidłowego prawa do reprezentacji Strony umowy i/lub danych służbowych do prawidłowego wykonania umowy, bieżącej komunikacji.</w:t>
      </w:r>
    </w:p>
    <w:p w14:paraId="172CF441" w14:textId="77777777" w:rsidR="00CD5700" w:rsidRPr="007E53E8" w:rsidRDefault="00CD5700" w:rsidP="00454F09">
      <w:pPr>
        <w:pStyle w:val="Akapitzlist"/>
        <w:widowControl w:val="0"/>
        <w:spacing w:beforeLines="20" w:before="48" w:after="20"/>
        <w:ind w:left="0"/>
        <w:contextualSpacing w:val="0"/>
        <w:jc w:val="both"/>
        <w:rPr>
          <w:rFonts w:asciiTheme="majorHAnsi" w:hAnsiTheme="majorHAnsi" w:cstheme="majorHAnsi"/>
          <w:b/>
          <w:sz w:val="20"/>
        </w:rPr>
      </w:pPr>
      <w:r w:rsidRPr="007E53E8">
        <w:rPr>
          <w:rFonts w:asciiTheme="majorHAnsi" w:hAnsiTheme="majorHAnsi" w:cstheme="majorHAnsi"/>
          <w:b/>
          <w:sz w:val="20"/>
        </w:rPr>
        <w:t>V. Okres przechowywania danych</w:t>
      </w:r>
    </w:p>
    <w:p w14:paraId="32A31B76" w14:textId="77777777" w:rsidR="00CD5700" w:rsidRPr="007E53E8" w:rsidRDefault="00CD5700" w:rsidP="00454F09">
      <w:pPr>
        <w:pStyle w:val="Akapitzlist"/>
        <w:widowControl w:val="0"/>
        <w:spacing w:beforeLines="20" w:before="48" w:after="20"/>
        <w:ind w:left="0"/>
        <w:contextualSpacing w:val="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 xml:space="preserve">Pani/Pana dane osobowe będą przechowywane przez okres realizacji umowy pomiędzy PCBC S.A, a </w:t>
      </w:r>
      <w:r w:rsidRPr="007E53E8">
        <w:rPr>
          <w:rFonts w:asciiTheme="majorHAnsi" w:hAnsiTheme="majorHAnsi" w:cstheme="majorHAnsi"/>
          <w:b/>
          <w:bCs/>
          <w:sz w:val="20"/>
        </w:rPr>
        <w:t xml:space="preserve">Stroną niniejszej umowy </w:t>
      </w:r>
      <w:r w:rsidRPr="007E53E8">
        <w:rPr>
          <w:rFonts w:asciiTheme="majorHAnsi" w:hAnsiTheme="majorHAnsi" w:cstheme="majorHAnsi"/>
          <w:sz w:val="20"/>
        </w:rPr>
        <w:t>zgodnie z przepisami prawa oraz przez okres dochodzenia ewentualnych roszczeń pomiędzy Stronami Umowy.</w:t>
      </w:r>
    </w:p>
    <w:p w14:paraId="36613A09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b/>
          <w:sz w:val="20"/>
        </w:rPr>
      </w:pPr>
      <w:r w:rsidRPr="007E53E8">
        <w:rPr>
          <w:rFonts w:asciiTheme="majorHAnsi" w:hAnsiTheme="majorHAnsi" w:cstheme="majorHAnsi"/>
          <w:b/>
          <w:sz w:val="20"/>
        </w:rPr>
        <w:t>VI. Prawa osób, których dane dotyczą</w:t>
      </w:r>
    </w:p>
    <w:p w14:paraId="4AFC3FA3" w14:textId="77777777" w:rsidR="00CD5700" w:rsidRPr="007E53E8" w:rsidRDefault="00CD5700" w:rsidP="00454F09">
      <w:pPr>
        <w:pStyle w:val="Akapitzlist"/>
        <w:widowControl w:val="0"/>
        <w:spacing w:beforeLines="20" w:before="48" w:after="20"/>
        <w:ind w:left="0"/>
        <w:contextualSpacing w:val="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 xml:space="preserve">Posiada Pani/Pan prawo dostępu do treści swoich danych oraz prawo ich: sprostowania, ograniczenia przetwarzania, prawo do wniesienia sprzeciwu i prawo do wnioskowania o usunięcie danych. Szczegółowe zasady korzystania z ww. uprawnień regulują art. 15-21 RODO. </w:t>
      </w:r>
    </w:p>
    <w:p w14:paraId="4A223E49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b/>
          <w:sz w:val="20"/>
        </w:rPr>
      </w:pPr>
      <w:r w:rsidRPr="007E53E8">
        <w:rPr>
          <w:rFonts w:asciiTheme="majorHAnsi" w:hAnsiTheme="majorHAnsi" w:cstheme="majorHAnsi"/>
          <w:b/>
          <w:sz w:val="20"/>
        </w:rPr>
        <w:t>VII. Prawo wniesienia skargi do organu nadzorczego</w:t>
      </w:r>
    </w:p>
    <w:p w14:paraId="1EBC49D8" w14:textId="77777777" w:rsidR="00CD5700" w:rsidRPr="007E53E8" w:rsidRDefault="00CD5700" w:rsidP="00454F09">
      <w:pPr>
        <w:pStyle w:val="Akapitzlist"/>
        <w:widowControl w:val="0"/>
        <w:spacing w:beforeLines="20" w:before="48" w:after="20"/>
        <w:ind w:left="0"/>
        <w:contextualSpacing w:val="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>Ma Pani/Pan prawo wniesienia skargi do organu nadzorczego, którym w Polsce jest Prezes Urzędu Ochrony Danych Osobowych.</w:t>
      </w:r>
    </w:p>
    <w:p w14:paraId="38699659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b/>
          <w:sz w:val="20"/>
        </w:rPr>
      </w:pPr>
      <w:r w:rsidRPr="007E53E8">
        <w:rPr>
          <w:rFonts w:asciiTheme="majorHAnsi" w:hAnsiTheme="majorHAnsi" w:cstheme="majorHAnsi"/>
          <w:b/>
          <w:sz w:val="20"/>
        </w:rPr>
        <w:t>VIII. Odbiorcy danych</w:t>
      </w:r>
    </w:p>
    <w:p w14:paraId="45B9949F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>Pani/Pana dane osobowe mogą zostać ujawnione podmiotom upoważnionym na podstawie przepisów prawa np. organom kontrolnym i nadzorczym.</w:t>
      </w:r>
    </w:p>
    <w:p w14:paraId="7B876BC1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>Pani/Pana dane osobowe mogą być również ujawnione podmiotom przetwarzającym w związku z realizacją umów zawartych przez PCBC S.A., w ramach których zostało im powierzone przetwarzanie danych osobowych, w tym np. dostawcom usług informatycznych, firmom świadczącym obsługę prawną, auditorom zewnętrznym.</w:t>
      </w:r>
    </w:p>
    <w:p w14:paraId="153DBCB5" w14:textId="77777777" w:rsidR="00CD5700" w:rsidRPr="007E53E8" w:rsidRDefault="00CD5700" w:rsidP="00454F09">
      <w:pPr>
        <w:pStyle w:val="Akapitzlist"/>
        <w:widowControl w:val="0"/>
        <w:spacing w:beforeLines="20" w:before="48" w:after="20"/>
        <w:ind w:left="0"/>
        <w:contextualSpacing w:val="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b/>
          <w:bCs/>
          <w:sz w:val="20"/>
        </w:rPr>
        <w:t>IX. Źródło danych</w:t>
      </w:r>
    </w:p>
    <w:p w14:paraId="7C7D2D50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>Pani/Pana dane osobowe zostały przekazane PCBC S.A. przez drugą Stronę niniejszej umowy  w związku z realizacją tej umowy.</w:t>
      </w:r>
    </w:p>
    <w:p w14:paraId="694053CA" w14:textId="77777777" w:rsidR="00CD5700" w:rsidRPr="007E53E8" w:rsidRDefault="00CD5700" w:rsidP="00454F09">
      <w:pPr>
        <w:widowControl w:val="0"/>
        <w:spacing w:beforeLines="20" w:before="48" w:after="20"/>
        <w:jc w:val="both"/>
        <w:rPr>
          <w:rFonts w:asciiTheme="majorHAnsi" w:hAnsiTheme="majorHAnsi" w:cstheme="majorHAnsi"/>
          <w:b/>
          <w:bCs/>
          <w:sz w:val="20"/>
        </w:rPr>
      </w:pPr>
      <w:r w:rsidRPr="007E53E8">
        <w:rPr>
          <w:rFonts w:asciiTheme="majorHAnsi" w:hAnsiTheme="majorHAnsi" w:cstheme="majorHAnsi"/>
          <w:b/>
          <w:bCs/>
          <w:sz w:val="20"/>
        </w:rPr>
        <w:t>X. Informacja dotycząca zautomatyzowanego przetwarzania danych osobowych, w tym profilowania</w:t>
      </w:r>
    </w:p>
    <w:p w14:paraId="0E4B11F7" w14:textId="2A61FD95" w:rsidR="00CD5700" w:rsidRPr="00D55C0B" w:rsidRDefault="00CD5700" w:rsidP="00D55C0B">
      <w:pPr>
        <w:widowControl w:val="0"/>
        <w:spacing w:beforeLines="20" w:before="48" w:after="20"/>
        <w:jc w:val="both"/>
        <w:rPr>
          <w:rFonts w:asciiTheme="majorHAnsi" w:hAnsiTheme="majorHAnsi" w:cstheme="majorHAnsi"/>
          <w:sz w:val="20"/>
        </w:rPr>
      </w:pPr>
      <w:r w:rsidRPr="007E53E8">
        <w:rPr>
          <w:rFonts w:asciiTheme="majorHAnsi" w:hAnsiTheme="majorHAnsi" w:cstheme="majorHAnsi"/>
          <w:sz w:val="20"/>
        </w:rPr>
        <w:t>Pani/Pana dane nie będą przetwarzane w sposób zautomatyzowany, w tym również profilowane.</w:t>
      </w:r>
    </w:p>
    <w:sectPr w:rsidR="00CD5700" w:rsidRPr="00D55C0B" w:rsidSect="000B4E08">
      <w:headerReference w:type="default" r:id="rId8"/>
      <w:footerReference w:type="default" r:id="rId9"/>
      <w:type w:val="continuous"/>
      <w:pgSz w:w="11906" w:h="16838"/>
      <w:pgMar w:top="1276" w:right="851" w:bottom="993" w:left="1418" w:header="709" w:footer="2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B6B0" w14:textId="77777777" w:rsidR="006813CD" w:rsidRDefault="006813CD">
      <w:r>
        <w:separator/>
      </w:r>
    </w:p>
  </w:endnote>
  <w:endnote w:type="continuationSeparator" w:id="0">
    <w:p w14:paraId="2CAD54E2" w14:textId="77777777" w:rsidR="006813CD" w:rsidRDefault="0068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07C6" w14:textId="7770ECC5" w:rsidR="001F0F7D" w:rsidRDefault="001F0F7D" w:rsidP="00267F98">
    <w:pPr>
      <w:pStyle w:val="Nagwek"/>
      <w:tabs>
        <w:tab w:val="clear" w:pos="9072"/>
        <w:tab w:val="right" w:pos="9639"/>
      </w:tabs>
      <w:rPr>
        <w:b/>
        <w:sz w:val="20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1F0F7D" w14:paraId="2F971D10" w14:textId="77777777" w:rsidTr="007667BB">
      <w:tc>
        <w:tcPr>
          <w:tcW w:w="4813" w:type="dxa"/>
        </w:tcPr>
        <w:p w14:paraId="3E17FBE4" w14:textId="4A3C01F5" w:rsidR="001F0F7D" w:rsidRDefault="001F0F7D" w:rsidP="007E53E8">
          <w:pPr>
            <w:pStyle w:val="Stopka"/>
          </w:pPr>
          <w:r w:rsidRPr="007E53E8">
            <w:rPr>
              <w:rFonts w:asciiTheme="majorHAnsi" w:hAnsiTheme="majorHAnsi" w:cstheme="majorHAnsi"/>
              <w:b/>
              <w:bCs/>
              <w:sz w:val="20"/>
            </w:rPr>
            <w:t>FBS-N-03/</w:t>
          </w:r>
          <w:r w:rsidR="00C0709F">
            <w:rPr>
              <w:rFonts w:asciiTheme="majorHAnsi" w:hAnsiTheme="majorHAnsi" w:cstheme="majorHAnsi"/>
              <w:b/>
              <w:bCs/>
              <w:sz w:val="20"/>
            </w:rPr>
            <w:t>6</w:t>
          </w:r>
          <w:r>
            <w:rPr>
              <w:rFonts w:asciiTheme="majorHAnsi" w:hAnsiTheme="majorHAnsi" w:cstheme="majorHAnsi"/>
              <w:sz w:val="20"/>
            </w:rPr>
            <w:t xml:space="preserve"> </w:t>
          </w:r>
          <w:r w:rsidRPr="00A11E7B">
            <w:rPr>
              <w:rFonts w:asciiTheme="majorHAnsi" w:hAnsiTheme="majorHAnsi" w:cstheme="majorHAnsi"/>
              <w:sz w:val="20"/>
            </w:rPr>
            <w:t xml:space="preserve">z </w:t>
          </w:r>
          <w:r w:rsidR="00C0709F">
            <w:rPr>
              <w:rFonts w:asciiTheme="majorHAnsi" w:hAnsiTheme="majorHAnsi" w:cstheme="majorHAnsi"/>
              <w:sz w:val="20"/>
            </w:rPr>
            <w:t>0</w:t>
          </w:r>
          <w:r w:rsidR="00AB6193">
            <w:rPr>
              <w:rFonts w:asciiTheme="majorHAnsi" w:hAnsiTheme="majorHAnsi" w:cstheme="majorHAnsi"/>
              <w:sz w:val="20"/>
            </w:rPr>
            <w:t>9</w:t>
          </w:r>
          <w:r>
            <w:rPr>
              <w:rFonts w:asciiTheme="majorHAnsi" w:hAnsiTheme="majorHAnsi" w:cstheme="majorHAnsi"/>
              <w:sz w:val="20"/>
            </w:rPr>
            <w:t>.0</w:t>
          </w:r>
          <w:r w:rsidR="00C0709F">
            <w:rPr>
              <w:rFonts w:asciiTheme="majorHAnsi" w:hAnsiTheme="majorHAnsi" w:cstheme="majorHAnsi"/>
              <w:sz w:val="20"/>
            </w:rPr>
            <w:t>6</w:t>
          </w:r>
          <w:r>
            <w:rPr>
              <w:rFonts w:asciiTheme="majorHAnsi" w:hAnsiTheme="majorHAnsi" w:cstheme="majorHAnsi"/>
              <w:sz w:val="20"/>
            </w:rPr>
            <w:t xml:space="preserve">.2022 </w:t>
          </w:r>
        </w:p>
      </w:tc>
      <w:tc>
        <w:tcPr>
          <w:tcW w:w="4814" w:type="dxa"/>
        </w:tcPr>
        <w:p w14:paraId="39273132" w14:textId="229CFF6A" w:rsidR="001F0F7D" w:rsidRDefault="001F0F7D" w:rsidP="007E53E8">
          <w:pPr>
            <w:pStyle w:val="Stopka"/>
            <w:jc w:val="right"/>
          </w:pPr>
          <w:r w:rsidRPr="00A11E7B">
            <w:rPr>
              <w:rFonts w:asciiTheme="majorHAnsi" w:hAnsiTheme="majorHAnsi" w:cstheme="majorHAnsi"/>
              <w:sz w:val="20"/>
            </w:rPr>
            <w:t xml:space="preserve">Strona </w:t>
          </w:r>
          <w:r w:rsidRPr="00EA3EC9">
            <w:rPr>
              <w:rFonts w:asciiTheme="majorHAnsi" w:hAnsiTheme="majorHAnsi" w:cstheme="majorHAnsi"/>
              <w:sz w:val="20"/>
            </w:rPr>
            <w:fldChar w:fldCharType="begin"/>
          </w:r>
          <w:r w:rsidRPr="00A11E7B">
            <w:rPr>
              <w:rFonts w:asciiTheme="majorHAnsi" w:hAnsiTheme="majorHAnsi" w:cstheme="majorHAnsi"/>
              <w:sz w:val="20"/>
            </w:rPr>
            <w:instrText xml:space="preserve"> PAGE </w:instrText>
          </w:r>
          <w:r w:rsidRPr="00EA3EC9">
            <w:rPr>
              <w:rFonts w:asciiTheme="majorHAnsi" w:hAnsiTheme="majorHAnsi" w:cstheme="majorHAnsi"/>
              <w:sz w:val="20"/>
            </w:rPr>
            <w:fldChar w:fldCharType="separate"/>
          </w:r>
          <w:r w:rsidR="00E35506">
            <w:rPr>
              <w:rFonts w:asciiTheme="majorHAnsi" w:hAnsiTheme="majorHAnsi" w:cstheme="majorHAnsi"/>
              <w:noProof/>
              <w:sz w:val="20"/>
            </w:rPr>
            <w:t>3</w:t>
          </w:r>
          <w:r w:rsidRPr="00EA3EC9">
            <w:rPr>
              <w:rFonts w:asciiTheme="majorHAnsi" w:hAnsiTheme="majorHAnsi" w:cstheme="majorHAnsi"/>
              <w:sz w:val="20"/>
            </w:rPr>
            <w:fldChar w:fldCharType="end"/>
          </w:r>
          <w:r w:rsidRPr="00A11E7B">
            <w:rPr>
              <w:rFonts w:asciiTheme="majorHAnsi" w:hAnsiTheme="majorHAnsi" w:cstheme="majorHAnsi"/>
              <w:sz w:val="20"/>
            </w:rPr>
            <w:t xml:space="preserve"> z </w:t>
          </w:r>
          <w:r w:rsidRPr="00EA3EC9">
            <w:rPr>
              <w:rFonts w:asciiTheme="majorHAnsi" w:hAnsiTheme="majorHAnsi" w:cstheme="majorHAnsi"/>
              <w:sz w:val="20"/>
            </w:rPr>
            <w:fldChar w:fldCharType="begin"/>
          </w:r>
          <w:r w:rsidRPr="00A11E7B">
            <w:rPr>
              <w:rFonts w:asciiTheme="majorHAnsi" w:hAnsiTheme="majorHAnsi" w:cstheme="majorHAnsi"/>
              <w:sz w:val="20"/>
            </w:rPr>
            <w:instrText xml:space="preserve"> NUMPAGES </w:instrText>
          </w:r>
          <w:r w:rsidRPr="00EA3EC9">
            <w:rPr>
              <w:rFonts w:asciiTheme="majorHAnsi" w:hAnsiTheme="majorHAnsi" w:cstheme="majorHAnsi"/>
              <w:sz w:val="20"/>
            </w:rPr>
            <w:fldChar w:fldCharType="separate"/>
          </w:r>
          <w:r w:rsidR="00E35506">
            <w:rPr>
              <w:rFonts w:asciiTheme="majorHAnsi" w:hAnsiTheme="majorHAnsi" w:cstheme="majorHAnsi"/>
              <w:noProof/>
              <w:sz w:val="20"/>
            </w:rPr>
            <w:t>22</w:t>
          </w:r>
          <w:r w:rsidRPr="00EA3EC9">
            <w:rPr>
              <w:rFonts w:asciiTheme="majorHAnsi" w:hAnsiTheme="majorHAnsi" w:cstheme="majorHAnsi"/>
              <w:sz w:val="20"/>
            </w:rPr>
            <w:fldChar w:fldCharType="end"/>
          </w:r>
        </w:p>
      </w:tc>
    </w:tr>
  </w:tbl>
  <w:p w14:paraId="47D4C291" w14:textId="77777777" w:rsidR="001F0F7D" w:rsidRDefault="001F0F7D" w:rsidP="00BF10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C3F5" w14:textId="77777777" w:rsidR="006813CD" w:rsidRDefault="006813CD">
      <w:r>
        <w:separator/>
      </w:r>
    </w:p>
  </w:footnote>
  <w:footnote w:type="continuationSeparator" w:id="0">
    <w:p w14:paraId="561F4E77" w14:textId="77777777" w:rsidR="006813CD" w:rsidRDefault="0068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0452" w14:textId="77777777" w:rsidR="001F0F7D" w:rsidRPr="007E53E8" w:rsidRDefault="001F0F7D" w:rsidP="007E53E8">
    <w:pPr>
      <w:pStyle w:val="Nagwek"/>
      <w:pBdr>
        <w:bottom w:val="single" w:sz="4" w:space="1" w:color="auto"/>
      </w:pBdr>
      <w:rPr>
        <w:rFonts w:asciiTheme="majorHAnsi" w:hAnsiTheme="majorHAnsi" w:cstheme="majorHAnsi"/>
        <w:sz w:val="20"/>
      </w:rPr>
    </w:pPr>
    <w:bookmarkStart w:id="16" w:name="_Hlk75173103"/>
    <w:bookmarkStart w:id="17" w:name="_Hlk76128651"/>
    <w:r w:rsidRPr="007E53E8">
      <w:rPr>
        <w:rFonts w:asciiTheme="majorHAnsi" w:hAnsiTheme="majorHAnsi" w:cstheme="majorHAnsi"/>
        <w:sz w:val="20"/>
      </w:rPr>
      <w:t xml:space="preserve">PCBC S.A. </w:t>
    </w:r>
  </w:p>
  <w:bookmarkEnd w:id="16"/>
  <w:p w14:paraId="264DC470" w14:textId="77777777" w:rsidR="001F0F7D" w:rsidRPr="007E53E8" w:rsidRDefault="001F0F7D" w:rsidP="007E53E8">
    <w:pPr>
      <w:jc w:val="center"/>
      <w:rPr>
        <w:rFonts w:asciiTheme="majorHAnsi" w:hAnsiTheme="majorHAnsi" w:cstheme="majorHAnsi"/>
        <w:sz w:val="20"/>
      </w:rPr>
    </w:pPr>
  </w:p>
  <w:bookmarkEnd w:id="17"/>
  <w:p w14:paraId="18FC7DEC" w14:textId="29593101" w:rsidR="001F0F7D" w:rsidRPr="007E53E8" w:rsidRDefault="001F0F7D" w:rsidP="007E53E8">
    <w:pPr>
      <w:pStyle w:val="Nagwek"/>
      <w:jc w:val="center"/>
      <w:rPr>
        <w:rFonts w:asciiTheme="majorHAnsi" w:hAnsiTheme="majorHAnsi" w:cstheme="majorHAnsi"/>
        <w:b/>
        <w:sz w:val="20"/>
      </w:rPr>
    </w:pPr>
    <w:r w:rsidRPr="007E53E8">
      <w:rPr>
        <w:rFonts w:asciiTheme="majorHAnsi" w:hAnsiTheme="majorHAnsi" w:cstheme="majorHAnsi"/>
        <w:b/>
        <w:sz w:val="20"/>
      </w:rPr>
      <w:t>Umowa o ocenę zgodności</w:t>
    </w:r>
  </w:p>
  <w:p w14:paraId="5DB9AB68" w14:textId="77777777" w:rsidR="001F0F7D" w:rsidRPr="007E53E8" w:rsidRDefault="001F0F7D" w:rsidP="007E53E8">
    <w:pPr>
      <w:pStyle w:val="Nagwek"/>
      <w:rPr>
        <w:rFonts w:asciiTheme="majorHAnsi" w:hAnsiTheme="majorHAnsi" w:cs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197"/>
    <w:multiLevelType w:val="hybridMultilevel"/>
    <w:tmpl w:val="28885D64"/>
    <w:lvl w:ilvl="0" w:tplc="5A26D9C0">
      <w:start w:val="2"/>
      <w:numFmt w:val="lowerLetter"/>
      <w:lvlText w:val="%1)"/>
      <w:lvlJc w:val="left"/>
      <w:pPr>
        <w:ind w:left="1780" w:hanging="360"/>
      </w:pPr>
      <w:rPr>
        <w:rFonts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05B77079"/>
    <w:multiLevelType w:val="hybridMultilevel"/>
    <w:tmpl w:val="3490C764"/>
    <w:lvl w:ilvl="0" w:tplc="FFFFFFFF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B7315"/>
    <w:multiLevelType w:val="hybridMultilevel"/>
    <w:tmpl w:val="6B529618"/>
    <w:numStyleLink w:val="Zaimportowanystyl28"/>
  </w:abstractNum>
  <w:abstractNum w:abstractNumId="3" w15:restartNumberingAfterBreak="0">
    <w:nsid w:val="0BC82531"/>
    <w:multiLevelType w:val="hybridMultilevel"/>
    <w:tmpl w:val="1DDCFB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5E3A1C"/>
    <w:multiLevelType w:val="hybridMultilevel"/>
    <w:tmpl w:val="23D8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4FDF"/>
    <w:multiLevelType w:val="hybridMultilevel"/>
    <w:tmpl w:val="E3B08B4A"/>
    <w:lvl w:ilvl="0" w:tplc="EF6C8A5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784B22"/>
    <w:multiLevelType w:val="multilevel"/>
    <w:tmpl w:val="0BB0CAD0"/>
    <w:lvl w:ilvl="0">
      <w:start w:val="1"/>
      <w:numFmt w:val="decimal"/>
      <w:lvlText w:val="%1."/>
      <w:lvlJc w:val="left"/>
      <w:pPr>
        <w:ind w:left="218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</w:rPr>
    </w:lvl>
  </w:abstractNum>
  <w:abstractNum w:abstractNumId="7" w15:restartNumberingAfterBreak="0">
    <w:nsid w:val="18150F66"/>
    <w:multiLevelType w:val="hybridMultilevel"/>
    <w:tmpl w:val="BA480B46"/>
    <w:lvl w:ilvl="0" w:tplc="04150017">
      <w:start w:val="1"/>
      <w:numFmt w:val="lowerLetter"/>
      <w:lvlText w:val="%1)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8" w15:restartNumberingAfterBreak="0">
    <w:nsid w:val="1C3601D0"/>
    <w:multiLevelType w:val="hybridMultilevel"/>
    <w:tmpl w:val="4DAC3D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5B6A84"/>
    <w:multiLevelType w:val="hybridMultilevel"/>
    <w:tmpl w:val="3F7288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B00AA8"/>
    <w:multiLevelType w:val="hybridMultilevel"/>
    <w:tmpl w:val="952E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D008E"/>
    <w:multiLevelType w:val="hybridMultilevel"/>
    <w:tmpl w:val="D0A29724"/>
    <w:lvl w:ilvl="0" w:tplc="65F4D406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BD82CBB6">
      <w:start w:val="1"/>
      <w:numFmt w:val="lowerRoman"/>
      <w:lvlText w:val="(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D5715"/>
    <w:multiLevelType w:val="hybridMultilevel"/>
    <w:tmpl w:val="7972AE6E"/>
    <w:lvl w:ilvl="0" w:tplc="6474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74344"/>
    <w:multiLevelType w:val="hybridMultilevel"/>
    <w:tmpl w:val="87D445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642A6"/>
    <w:multiLevelType w:val="hybridMultilevel"/>
    <w:tmpl w:val="1DA80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7840"/>
    <w:multiLevelType w:val="hybridMultilevel"/>
    <w:tmpl w:val="0F58F47E"/>
    <w:lvl w:ilvl="0" w:tplc="E5B02BF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0D522A3"/>
    <w:multiLevelType w:val="hybridMultilevel"/>
    <w:tmpl w:val="85385C9A"/>
    <w:lvl w:ilvl="0" w:tplc="0F00D2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032C"/>
    <w:multiLevelType w:val="hybridMultilevel"/>
    <w:tmpl w:val="E93C348E"/>
    <w:lvl w:ilvl="0" w:tplc="F578ACCE">
      <w:start w:val="1"/>
      <w:numFmt w:val="bullet"/>
      <w:lvlText w:val="-"/>
      <w:lvlJc w:val="left"/>
      <w:pPr>
        <w:ind w:left="1636" w:hanging="360"/>
      </w:pPr>
      <w:rPr>
        <w:rFonts w:ascii="Calibri" w:eastAsia="Times New Roman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33A928C9"/>
    <w:multiLevelType w:val="hybridMultilevel"/>
    <w:tmpl w:val="DAAC8E28"/>
    <w:lvl w:ilvl="0" w:tplc="2924B1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 w:tplc="96ACCF36">
      <w:start w:val="1"/>
      <w:numFmt w:val="lowerLetter"/>
      <w:lvlText w:val="%2."/>
      <w:lvlJc w:val="left"/>
      <w:pPr>
        <w:ind w:left="1440" w:hanging="360"/>
      </w:pPr>
    </w:lvl>
    <w:lvl w:ilvl="2" w:tplc="EF369566">
      <w:start w:val="1"/>
      <w:numFmt w:val="lowerRoman"/>
      <w:lvlText w:val="%3."/>
      <w:lvlJc w:val="right"/>
      <w:pPr>
        <w:ind w:left="2160" w:hanging="180"/>
      </w:pPr>
    </w:lvl>
    <w:lvl w:ilvl="3" w:tplc="D8A27980" w:tentative="1">
      <w:start w:val="1"/>
      <w:numFmt w:val="decimal"/>
      <w:lvlText w:val="%4."/>
      <w:lvlJc w:val="left"/>
      <w:pPr>
        <w:ind w:left="2880" w:hanging="360"/>
      </w:pPr>
    </w:lvl>
    <w:lvl w:ilvl="4" w:tplc="C5D65110" w:tentative="1">
      <w:start w:val="1"/>
      <w:numFmt w:val="lowerLetter"/>
      <w:lvlText w:val="%5."/>
      <w:lvlJc w:val="left"/>
      <w:pPr>
        <w:ind w:left="3600" w:hanging="360"/>
      </w:pPr>
    </w:lvl>
    <w:lvl w:ilvl="5" w:tplc="2CECA7C2" w:tentative="1">
      <w:start w:val="1"/>
      <w:numFmt w:val="lowerRoman"/>
      <w:lvlText w:val="%6."/>
      <w:lvlJc w:val="right"/>
      <w:pPr>
        <w:ind w:left="4320" w:hanging="180"/>
      </w:pPr>
    </w:lvl>
    <w:lvl w:ilvl="6" w:tplc="50949268" w:tentative="1">
      <w:start w:val="1"/>
      <w:numFmt w:val="decimal"/>
      <w:lvlText w:val="%7."/>
      <w:lvlJc w:val="left"/>
      <w:pPr>
        <w:ind w:left="5040" w:hanging="360"/>
      </w:pPr>
    </w:lvl>
    <w:lvl w:ilvl="7" w:tplc="09DECB76" w:tentative="1">
      <w:start w:val="1"/>
      <w:numFmt w:val="lowerLetter"/>
      <w:lvlText w:val="%8."/>
      <w:lvlJc w:val="left"/>
      <w:pPr>
        <w:ind w:left="5760" w:hanging="360"/>
      </w:pPr>
    </w:lvl>
    <w:lvl w:ilvl="8" w:tplc="09BCC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2445"/>
    <w:multiLevelType w:val="multilevel"/>
    <w:tmpl w:val="35880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AA6648"/>
    <w:multiLevelType w:val="hybridMultilevel"/>
    <w:tmpl w:val="BA480B46"/>
    <w:lvl w:ilvl="0" w:tplc="04150017">
      <w:start w:val="1"/>
      <w:numFmt w:val="lowerLetter"/>
      <w:lvlText w:val="%1)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1" w15:restartNumberingAfterBreak="0">
    <w:nsid w:val="3C4025AC"/>
    <w:multiLevelType w:val="hybridMultilevel"/>
    <w:tmpl w:val="B3EA8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C887FC4"/>
    <w:multiLevelType w:val="hybridMultilevel"/>
    <w:tmpl w:val="6F6021B8"/>
    <w:lvl w:ilvl="0" w:tplc="11A0A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8A6E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016F2"/>
    <w:multiLevelType w:val="hybridMultilevel"/>
    <w:tmpl w:val="0A047BBC"/>
    <w:lvl w:ilvl="0" w:tplc="64625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B05414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065F9"/>
    <w:multiLevelType w:val="multilevel"/>
    <w:tmpl w:val="7B2CD7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 w15:restartNumberingAfterBreak="0">
    <w:nsid w:val="423C34DF"/>
    <w:multiLevelType w:val="hybridMultilevel"/>
    <w:tmpl w:val="EE40BB70"/>
    <w:lvl w:ilvl="0" w:tplc="317CE7A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FF2D90"/>
    <w:multiLevelType w:val="hybridMultilevel"/>
    <w:tmpl w:val="CA92CD9A"/>
    <w:lvl w:ilvl="0" w:tplc="9F6C9056">
      <w:start w:val="1"/>
      <w:numFmt w:val="lowerLetter"/>
      <w:lvlText w:val="%1)"/>
      <w:lvlJc w:val="left"/>
      <w:pPr>
        <w:ind w:left="40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761" w:hanging="360"/>
      </w:pPr>
    </w:lvl>
    <w:lvl w:ilvl="2" w:tplc="0415001B" w:tentative="1">
      <w:start w:val="1"/>
      <w:numFmt w:val="lowerRoman"/>
      <w:lvlText w:val="%3."/>
      <w:lvlJc w:val="right"/>
      <w:pPr>
        <w:ind w:left="5481" w:hanging="180"/>
      </w:pPr>
    </w:lvl>
    <w:lvl w:ilvl="3" w:tplc="0415000F" w:tentative="1">
      <w:start w:val="1"/>
      <w:numFmt w:val="decimal"/>
      <w:lvlText w:val="%4."/>
      <w:lvlJc w:val="left"/>
      <w:pPr>
        <w:ind w:left="6201" w:hanging="360"/>
      </w:pPr>
    </w:lvl>
    <w:lvl w:ilvl="4" w:tplc="04150019" w:tentative="1">
      <w:start w:val="1"/>
      <w:numFmt w:val="lowerLetter"/>
      <w:lvlText w:val="%5."/>
      <w:lvlJc w:val="left"/>
      <w:pPr>
        <w:ind w:left="6921" w:hanging="360"/>
      </w:pPr>
    </w:lvl>
    <w:lvl w:ilvl="5" w:tplc="0415001B" w:tentative="1">
      <w:start w:val="1"/>
      <w:numFmt w:val="lowerRoman"/>
      <w:lvlText w:val="%6."/>
      <w:lvlJc w:val="right"/>
      <w:pPr>
        <w:ind w:left="7641" w:hanging="180"/>
      </w:pPr>
    </w:lvl>
    <w:lvl w:ilvl="6" w:tplc="0415000F" w:tentative="1">
      <w:start w:val="1"/>
      <w:numFmt w:val="decimal"/>
      <w:lvlText w:val="%7."/>
      <w:lvlJc w:val="left"/>
      <w:pPr>
        <w:ind w:left="8361" w:hanging="360"/>
      </w:pPr>
    </w:lvl>
    <w:lvl w:ilvl="7" w:tplc="04150019" w:tentative="1">
      <w:start w:val="1"/>
      <w:numFmt w:val="lowerLetter"/>
      <w:lvlText w:val="%8."/>
      <w:lvlJc w:val="left"/>
      <w:pPr>
        <w:ind w:left="9081" w:hanging="360"/>
      </w:pPr>
    </w:lvl>
    <w:lvl w:ilvl="8" w:tplc="0415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27" w15:restartNumberingAfterBreak="0">
    <w:nsid w:val="451866F5"/>
    <w:multiLevelType w:val="hybridMultilevel"/>
    <w:tmpl w:val="9AE6EA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E58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04CEA"/>
    <w:multiLevelType w:val="hybridMultilevel"/>
    <w:tmpl w:val="58C4B352"/>
    <w:lvl w:ilvl="0" w:tplc="471A0F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6F2208"/>
    <w:multiLevelType w:val="multilevel"/>
    <w:tmpl w:val="D324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tabs>
          <w:tab w:val="num" w:pos="750"/>
        </w:tabs>
        <w:ind w:left="750" w:hanging="390"/>
      </w:pPr>
      <w:rPr>
        <w:rFonts w:asciiTheme="majorHAnsi" w:eastAsia="Times New Roman" w:hAnsiTheme="majorHAnsi" w:cstheme="maj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4B8035BE"/>
    <w:multiLevelType w:val="singleLevel"/>
    <w:tmpl w:val="8E2CA7A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 w:val="0"/>
        <w:i w:val="0"/>
      </w:rPr>
    </w:lvl>
  </w:abstractNum>
  <w:abstractNum w:abstractNumId="31" w15:restartNumberingAfterBreak="0">
    <w:nsid w:val="4E1C5F2B"/>
    <w:multiLevelType w:val="multilevel"/>
    <w:tmpl w:val="8F7E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50"/>
        </w:tabs>
        <w:ind w:left="750" w:hanging="390"/>
      </w:pPr>
      <w:rPr>
        <w:rFonts w:asciiTheme="majorHAnsi" w:eastAsia="Times New Roman" w:hAnsiTheme="majorHAnsi" w:cstheme="maj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F4A1BBB"/>
    <w:multiLevelType w:val="hybridMultilevel"/>
    <w:tmpl w:val="9AE6EA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E58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8A2522"/>
    <w:multiLevelType w:val="multilevel"/>
    <w:tmpl w:val="B4769F2E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11"/>
        </w:tabs>
        <w:ind w:left="491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7"/>
        </w:tabs>
        <w:ind w:left="56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3"/>
        </w:tabs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09"/>
        </w:tabs>
        <w:ind w:left="6909" w:hanging="1800"/>
      </w:pPr>
      <w:rPr>
        <w:rFonts w:hint="default"/>
      </w:rPr>
    </w:lvl>
  </w:abstractNum>
  <w:abstractNum w:abstractNumId="34" w15:restartNumberingAfterBreak="0">
    <w:nsid w:val="505770C7"/>
    <w:multiLevelType w:val="hybridMultilevel"/>
    <w:tmpl w:val="A75E30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F75735"/>
    <w:multiLevelType w:val="hybridMultilevel"/>
    <w:tmpl w:val="C86C67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2B0730E"/>
    <w:multiLevelType w:val="multilevel"/>
    <w:tmpl w:val="1DEC5C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Theme="majorHAnsi" w:eastAsia="Cambria" w:hAnsiTheme="majorHAnsi" w:cstheme="majorHAns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4DB0A38"/>
    <w:multiLevelType w:val="hybridMultilevel"/>
    <w:tmpl w:val="267C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F2E12"/>
    <w:multiLevelType w:val="hybridMultilevel"/>
    <w:tmpl w:val="38B04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D1961D8"/>
    <w:multiLevelType w:val="multilevel"/>
    <w:tmpl w:val="C6204F4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</w:rPr>
    </w:lvl>
  </w:abstractNum>
  <w:abstractNum w:abstractNumId="40" w15:restartNumberingAfterBreak="0">
    <w:nsid w:val="5D6D6987"/>
    <w:multiLevelType w:val="hybridMultilevel"/>
    <w:tmpl w:val="AD14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872C1"/>
    <w:multiLevelType w:val="hybridMultilevel"/>
    <w:tmpl w:val="6B529618"/>
    <w:styleLink w:val="Zaimportowanystyl28"/>
    <w:lvl w:ilvl="0" w:tplc="A67A032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EE5E7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1C79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0E66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92D09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628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0E9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C7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665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6761CE5"/>
    <w:multiLevelType w:val="multilevel"/>
    <w:tmpl w:val="812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3" w15:restartNumberingAfterBreak="0">
    <w:nsid w:val="67265850"/>
    <w:multiLevelType w:val="multilevel"/>
    <w:tmpl w:val="8E365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6737679B"/>
    <w:multiLevelType w:val="hybridMultilevel"/>
    <w:tmpl w:val="C71E6A9E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5" w15:restartNumberingAfterBreak="0">
    <w:nsid w:val="6AFF060C"/>
    <w:multiLevelType w:val="multilevel"/>
    <w:tmpl w:val="9FE0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C333056"/>
    <w:multiLevelType w:val="hybridMultilevel"/>
    <w:tmpl w:val="E5245548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 w15:restartNumberingAfterBreak="0">
    <w:nsid w:val="6D774FE3"/>
    <w:multiLevelType w:val="multilevel"/>
    <w:tmpl w:val="E67E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6F4F0432"/>
    <w:multiLevelType w:val="hybridMultilevel"/>
    <w:tmpl w:val="3FBEDEA2"/>
    <w:lvl w:ilvl="0" w:tplc="8634F3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A3144A"/>
    <w:multiLevelType w:val="hybridMultilevel"/>
    <w:tmpl w:val="29AE4502"/>
    <w:numStyleLink w:val="Zaimportowanystyl27"/>
  </w:abstractNum>
  <w:abstractNum w:abstractNumId="50" w15:restartNumberingAfterBreak="0">
    <w:nsid w:val="719F301D"/>
    <w:multiLevelType w:val="hybridMultilevel"/>
    <w:tmpl w:val="29AE4502"/>
    <w:styleLink w:val="Zaimportowanystyl27"/>
    <w:lvl w:ilvl="0" w:tplc="CF74484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5256C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B62A8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FACD6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2515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6EF3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82C1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46CFA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28DA3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1DA1563"/>
    <w:multiLevelType w:val="hybridMultilevel"/>
    <w:tmpl w:val="454CE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F00C3D"/>
    <w:multiLevelType w:val="hybridMultilevel"/>
    <w:tmpl w:val="463CFB14"/>
    <w:lvl w:ilvl="0" w:tplc="0415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BBF1541"/>
    <w:multiLevelType w:val="hybridMultilevel"/>
    <w:tmpl w:val="9AE6EA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E58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307003"/>
    <w:multiLevelType w:val="hybridMultilevel"/>
    <w:tmpl w:val="53C658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CD7219"/>
    <w:multiLevelType w:val="hybridMultilevel"/>
    <w:tmpl w:val="762E4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D76678"/>
    <w:multiLevelType w:val="hybridMultilevel"/>
    <w:tmpl w:val="3EF6EF5C"/>
    <w:lvl w:ilvl="0" w:tplc="F244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516705">
    <w:abstractNumId w:val="31"/>
  </w:num>
  <w:num w:numId="2" w16cid:durableId="269050078">
    <w:abstractNumId w:val="30"/>
  </w:num>
  <w:num w:numId="3" w16cid:durableId="1892501042">
    <w:abstractNumId w:val="54"/>
  </w:num>
  <w:num w:numId="4" w16cid:durableId="946892073">
    <w:abstractNumId w:val="36"/>
  </w:num>
  <w:num w:numId="5" w16cid:durableId="512494285">
    <w:abstractNumId w:val="56"/>
  </w:num>
  <w:num w:numId="6" w16cid:durableId="1468862145">
    <w:abstractNumId w:val="22"/>
  </w:num>
  <w:num w:numId="7" w16cid:durableId="927886034">
    <w:abstractNumId w:val="45"/>
  </w:num>
  <w:num w:numId="8" w16cid:durableId="1010446737">
    <w:abstractNumId w:val="53"/>
  </w:num>
  <w:num w:numId="9" w16cid:durableId="237831751">
    <w:abstractNumId w:val="24"/>
  </w:num>
  <w:num w:numId="10" w16cid:durableId="1912883944">
    <w:abstractNumId w:val="43"/>
  </w:num>
  <w:num w:numId="11" w16cid:durableId="268241207">
    <w:abstractNumId w:val="19"/>
  </w:num>
  <w:num w:numId="12" w16cid:durableId="1576624856">
    <w:abstractNumId w:val="39"/>
  </w:num>
  <w:num w:numId="13" w16cid:durableId="1724020953">
    <w:abstractNumId w:val="46"/>
  </w:num>
  <w:num w:numId="14" w16cid:durableId="1322999000">
    <w:abstractNumId w:val="26"/>
  </w:num>
  <w:num w:numId="15" w16cid:durableId="1290818811">
    <w:abstractNumId w:val="55"/>
  </w:num>
  <w:num w:numId="16" w16cid:durableId="700202255">
    <w:abstractNumId w:val="15"/>
  </w:num>
  <w:num w:numId="17" w16cid:durableId="1658723209">
    <w:abstractNumId w:val="6"/>
  </w:num>
  <w:num w:numId="18" w16cid:durableId="2131318979">
    <w:abstractNumId w:val="27"/>
  </w:num>
  <w:num w:numId="19" w16cid:durableId="1565294579">
    <w:abstractNumId w:val="32"/>
  </w:num>
  <w:num w:numId="20" w16cid:durableId="2065327143">
    <w:abstractNumId w:val="8"/>
  </w:num>
  <w:num w:numId="21" w16cid:durableId="89007501">
    <w:abstractNumId w:val="35"/>
  </w:num>
  <w:num w:numId="22" w16cid:durableId="2086995167">
    <w:abstractNumId w:val="47"/>
  </w:num>
  <w:num w:numId="23" w16cid:durableId="12415364">
    <w:abstractNumId w:val="29"/>
  </w:num>
  <w:num w:numId="24" w16cid:durableId="470560724">
    <w:abstractNumId w:val="3"/>
  </w:num>
  <w:num w:numId="25" w16cid:durableId="2030257080">
    <w:abstractNumId w:val="40"/>
  </w:num>
  <w:num w:numId="26" w16cid:durableId="1181167731">
    <w:abstractNumId w:val="16"/>
  </w:num>
  <w:num w:numId="27" w16cid:durableId="106513020">
    <w:abstractNumId w:val="34"/>
  </w:num>
  <w:num w:numId="28" w16cid:durableId="2009139513">
    <w:abstractNumId w:val="12"/>
  </w:num>
  <w:num w:numId="29" w16cid:durableId="136381555">
    <w:abstractNumId w:val="14"/>
  </w:num>
  <w:num w:numId="30" w16cid:durableId="811288662">
    <w:abstractNumId w:val="33"/>
  </w:num>
  <w:num w:numId="31" w16cid:durableId="1076248838">
    <w:abstractNumId w:val="37"/>
  </w:num>
  <w:num w:numId="32" w16cid:durableId="1593202294">
    <w:abstractNumId w:val="5"/>
  </w:num>
  <w:num w:numId="33" w16cid:durableId="1477844264">
    <w:abstractNumId w:val="42"/>
  </w:num>
  <w:num w:numId="34" w16cid:durableId="939020981">
    <w:abstractNumId w:val="7"/>
  </w:num>
  <w:num w:numId="35" w16cid:durableId="189539895">
    <w:abstractNumId w:val="20"/>
  </w:num>
  <w:num w:numId="36" w16cid:durableId="1603534923">
    <w:abstractNumId w:val="18"/>
  </w:num>
  <w:num w:numId="37" w16cid:durableId="345401750">
    <w:abstractNumId w:val="23"/>
  </w:num>
  <w:num w:numId="38" w16cid:durableId="302077454">
    <w:abstractNumId w:val="50"/>
  </w:num>
  <w:num w:numId="39" w16cid:durableId="45567874">
    <w:abstractNumId w:val="49"/>
    <w:lvlOverride w:ilvl="0">
      <w:lvl w:ilvl="0" w:tplc="D5F22A6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10118665">
    <w:abstractNumId w:val="41"/>
  </w:num>
  <w:num w:numId="41" w16cid:durableId="1639146274">
    <w:abstractNumId w:val="2"/>
  </w:num>
  <w:num w:numId="42" w16cid:durableId="1715344390">
    <w:abstractNumId w:val="21"/>
  </w:num>
  <w:num w:numId="43" w16cid:durableId="617682232">
    <w:abstractNumId w:val="48"/>
  </w:num>
  <w:num w:numId="44" w16cid:durableId="14341330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60802925">
    <w:abstractNumId w:val="44"/>
  </w:num>
  <w:num w:numId="46" w16cid:durableId="678317918">
    <w:abstractNumId w:val="11"/>
  </w:num>
  <w:num w:numId="47" w16cid:durableId="344022756">
    <w:abstractNumId w:val="13"/>
  </w:num>
  <w:num w:numId="48" w16cid:durableId="1676683685">
    <w:abstractNumId w:val="25"/>
  </w:num>
  <w:num w:numId="49" w16cid:durableId="45035889">
    <w:abstractNumId w:val="51"/>
  </w:num>
  <w:num w:numId="50" w16cid:durableId="1993832162">
    <w:abstractNumId w:val="4"/>
  </w:num>
  <w:num w:numId="51" w16cid:durableId="736436694">
    <w:abstractNumId w:val="1"/>
  </w:num>
  <w:num w:numId="52" w16cid:durableId="1011880832">
    <w:abstractNumId w:val="52"/>
  </w:num>
  <w:num w:numId="53" w16cid:durableId="1350444389">
    <w:abstractNumId w:val="28"/>
  </w:num>
  <w:num w:numId="54" w16cid:durableId="545533521">
    <w:abstractNumId w:val="38"/>
  </w:num>
  <w:num w:numId="55" w16cid:durableId="1716003024">
    <w:abstractNumId w:val="9"/>
  </w:num>
  <w:num w:numId="56" w16cid:durableId="1823043580">
    <w:abstractNumId w:val="17"/>
  </w:num>
  <w:num w:numId="57" w16cid:durableId="1901548912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A0EA9xZBUhGXDu4L2fMh7GBEo5icV6/juIk83BJV23eO4MOPMOFYLZjnOh7lfmgCdnI/aj7NQvWN+Alfny1mA==" w:salt="V9poauQyNN/GneH/ydT/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52"/>
    <w:rsid w:val="00001E73"/>
    <w:rsid w:val="000032D3"/>
    <w:rsid w:val="00011D2E"/>
    <w:rsid w:val="0001386A"/>
    <w:rsid w:val="00015389"/>
    <w:rsid w:val="000163E4"/>
    <w:rsid w:val="00021BC0"/>
    <w:rsid w:val="0002350A"/>
    <w:rsid w:val="000253D3"/>
    <w:rsid w:val="00031927"/>
    <w:rsid w:val="00032781"/>
    <w:rsid w:val="00042F5B"/>
    <w:rsid w:val="00047F96"/>
    <w:rsid w:val="00050B80"/>
    <w:rsid w:val="00051024"/>
    <w:rsid w:val="000527A8"/>
    <w:rsid w:val="00053799"/>
    <w:rsid w:val="00055F5C"/>
    <w:rsid w:val="00060A34"/>
    <w:rsid w:val="00060FA2"/>
    <w:rsid w:val="00062535"/>
    <w:rsid w:val="0006573C"/>
    <w:rsid w:val="00070D0E"/>
    <w:rsid w:val="00070E39"/>
    <w:rsid w:val="000718A2"/>
    <w:rsid w:val="00073098"/>
    <w:rsid w:val="00077D88"/>
    <w:rsid w:val="00082C47"/>
    <w:rsid w:val="0008398D"/>
    <w:rsid w:val="00085063"/>
    <w:rsid w:val="000908FE"/>
    <w:rsid w:val="00094CB4"/>
    <w:rsid w:val="00094D7D"/>
    <w:rsid w:val="00097A25"/>
    <w:rsid w:val="000A0785"/>
    <w:rsid w:val="000A2A6C"/>
    <w:rsid w:val="000A476E"/>
    <w:rsid w:val="000B01DB"/>
    <w:rsid w:val="000B21C0"/>
    <w:rsid w:val="000B33EC"/>
    <w:rsid w:val="000B4E08"/>
    <w:rsid w:val="000B4F74"/>
    <w:rsid w:val="000B5C8B"/>
    <w:rsid w:val="000B6FC2"/>
    <w:rsid w:val="000C08DE"/>
    <w:rsid w:val="000C0BAE"/>
    <w:rsid w:val="000C69E1"/>
    <w:rsid w:val="000C715E"/>
    <w:rsid w:val="000C760D"/>
    <w:rsid w:val="000D12D8"/>
    <w:rsid w:val="000D2341"/>
    <w:rsid w:val="000D294A"/>
    <w:rsid w:val="000D3A49"/>
    <w:rsid w:val="000D7B8D"/>
    <w:rsid w:val="000E0657"/>
    <w:rsid w:val="000E0673"/>
    <w:rsid w:val="000E334B"/>
    <w:rsid w:val="000E6703"/>
    <w:rsid w:val="000E7BD0"/>
    <w:rsid w:val="000F3162"/>
    <w:rsid w:val="000F582B"/>
    <w:rsid w:val="001005B1"/>
    <w:rsid w:val="001018E3"/>
    <w:rsid w:val="001035B1"/>
    <w:rsid w:val="00105A57"/>
    <w:rsid w:val="0011013E"/>
    <w:rsid w:val="00111185"/>
    <w:rsid w:val="00111E45"/>
    <w:rsid w:val="0011213E"/>
    <w:rsid w:val="001148FF"/>
    <w:rsid w:val="001158E9"/>
    <w:rsid w:val="00120FD0"/>
    <w:rsid w:val="001213A2"/>
    <w:rsid w:val="00122729"/>
    <w:rsid w:val="00124E89"/>
    <w:rsid w:val="0013076D"/>
    <w:rsid w:val="00130F0B"/>
    <w:rsid w:val="0013284B"/>
    <w:rsid w:val="001334B2"/>
    <w:rsid w:val="001365B5"/>
    <w:rsid w:val="00137085"/>
    <w:rsid w:val="00137BA2"/>
    <w:rsid w:val="0014123B"/>
    <w:rsid w:val="0014205B"/>
    <w:rsid w:val="001420FC"/>
    <w:rsid w:val="00143B07"/>
    <w:rsid w:val="001447E0"/>
    <w:rsid w:val="001461FC"/>
    <w:rsid w:val="00147068"/>
    <w:rsid w:val="00150538"/>
    <w:rsid w:val="00151AF6"/>
    <w:rsid w:val="001522C6"/>
    <w:rsid w:val="00153B34"/>
    <w:rsid w:val="00154DD8"/>
    <w:rsid w:val="00156965"/>
    <w:rsid w:val="00156C9D"/>
    <w:rsid w:val="00157CCC"/>
    <w:rsid w:val="00161B75"/>
    <w:rsid w:val="00161CFA"/>
    <w:rsid w:val="001662B8"/>
    <w:rsid w:val="00167AF0"/>
    <w:rsid w:val="00171654"/>
    <w:rsid w:val="00171965"/>
    <w:rsid w:val="00175D66"/>
    <w:rsid w:val="00176F2D"/>
    <w:rsid w:val="001813AD"/>
    <w:rsid w:val="001832A1"/>
    <w:rsid w:val="001863F8"/>
    <w:rsid w:val="00193F4E"/>
    <w:rsid w:val="00194737"/>
    <w:rsid w:val="00194AF8"/>
    <w:rsid w:val="00197CFA"/>
    <w:rsid w:val="001A0B1F"/>
    <w:rsid w:val="001A104C"/>
    <w:rsid w:val="001A293A"/>
    <w:rsid w:val="001A3AC1"/>
    <w:rsid w:val="001B07E2"/>
    <w:rsid w:val="001B3FE5"/>
    <w:rsid w:val="001B627C"/>
    <w:rsid w:val="001B76E0"/>
    <w:rsid w:val="001C027D"/>
    <w:rsid w:val="001C0DE0"/>
    <w:rsid w:val="001C34CD"/>
    <w:rsid w:val="001C487E"/>
    <w:rsid w:val="001D2B44"/>
    <w:rsid w:val="001D36E1"/>
    <w:rsid w:val="001D424B"/>
    <w:rsid w:val="001D62D7"/>
    <w:rsid w:val="001D7E92"/>
    <w:rsid w:val="001E6D7F"/>
    <w:rsid w:val="001F0BA9"/>
    <w:rsid w:val="001F0F7D"/>
    <w:rsid w:val="001F3C6F"/>
    <w:rsid w:val="001F718A"/>
    <w:rsid w:val="001F777D"/>
    <w:rsid w:val="0020035E"/>
    <w:rsid w:val="00204755"/>
    <w:rsid w:val="0020649D"/>
    <w:rsid w:val="00211954"/>
    <w:rsid w:val="002120B6"/>
    <w:rsid w:val="00215376"/>
    <w:rsid w:val="002155E0"/>
    <w:rsid w:val="0022007F"/>
    <w:rsid w:val="00220C62"/>
    <w:rsid w:val="00221F7D"/>
    <w:rsid w:val="00224C10"/>
    <w:rsid w:val="00224EDD"/>
    <w:rsid w:val="00234390"/>
    <w:rsid w:val="0024407D"/>
    <w:rsid w:val="00244C4E"/>
    <w:rsid w:val="00250A7D"/>
    <w:rsid w:val="00251920"/>
    <w:rsid w:val="00251C96"/>
    <w:rsid w:val="00251EC2"/>
    <w:rsid w:val="00251EEB"/>
    <w:rsid w:val="00255DC2"/>
    <w:rsid w:val="0025680D"/>
    <w:rsid w:val="00257BE5"/>
    <w:rsid w:val="00257E4F"/>
    <w:rsid w:val="00257F58"/>
    <w:rsid w:val="00263D1C"/>
    <w:rsid w:val="0026400B"/>
    <w:rsid w:val="002677E5"/>
    <w:rsid w:val="00267A92"/>
    <w:rsid w:val="00267AE4"/>
    <w:rsid w:val="00267F98"/>
    <w:rsid w:val="00270150"/>
    <w:rsid w:val="00274B1F"/>
    <w:rsid w:val="0027623D"/>
    <w:rsid w:val="00280E6F"/>
    <w:rsid w:val="00281430"/>
    <w:rsid w:val="00283D56"/>
    <w:rsid w:val="00283DE0"/>
    <w:rsid w:val="00287EDA"/>
    <w:rsid w:val="00290E0E"/>
    <w:rsid w:val="002924B1"/>
    <w:rsid w:val="002A0442"/>
    <w:rsid w:val="002A0DA2"/>
    <w:rsid w:val="002A1DA6"/>
    <w:rsid w:val="002A3D65"/>
    <w:rsid w:val="002A409C"/>
    <w:rsid w:val="002A7976"/>
    <w:rsid w:val="002A7C63"/>
    <w:rsid w:val="002B3F7A"/>
    <w:rsid w:val="002B5A30"/>
    <w:rsid w:val="002B71DD"/>
    <w:rsid w:val="002B7D2D"/>
    <w:rsid w:val="002C0AA6"/>
    <w:rsid w:val="002C2CFC"/>
    <w:rsid w:val="002C2D0E"/>
    <w:rsid w:val="002C3028"/>
    <w:rsid w:val="002C36F6"/>
    <w:rsid w:val="002C3BCE"/>
    <w:rsid w:val="002C3F0C"/>
    <w:rsid w:val="002C688B"/>
    <w:rsid w:val="002D22B7"/>
    <w:rsid w:val="002D4FF2"/>
    <w:rsid w:val="002E0E18"/>
    <w:rsid w:val="002F03EA"/>
    <w:rsid w:val="002F05E4"/>
    <w:rsid w:val="002F2E93"/>
    <w:rsid w:val="002F31BA"/>
    <w:rsid w:val="002F327F"/>
    <w:rsid w:val="002F3CAA"/>
    <w:rsid w:val="002F60FD"/>
    <w:rsid w:val="00302821"/>
    <w:rsid w:val="00302A39"/>
    <w:rsid w:val="00304F92"/>
    <w:rsid w:val="00310A44"/>
    <w:rsid w:val="00311975"/>
    <w:rsid w:val="003147CB"/>
    <w:rsid w:val="0031492A"/>
    <w:rsid w:val="00315D8E"/>
    <w:rsid w:val="00316855"/>
    <w:rsid w:val="003174D1"/>
    <w:rsid w:val="00317E11"/>
    <w:rsid w:val="00321BE6"/>
    <w:rsid w:val="0032480B"/>
    <w:rsid w:val="00324BED"/>
    <w:rsid w:val="00326B85"/>
    <w:rsid w:val="00327187"/>
    <w:rsid w:val="00336221"/>
    <w:rsid w:val="00336764"/>
    <w:rsid w:val="00337E50"/>
    <w:rsid w:val="00342750"/>
    <w:rsid w:val="00344392"/>
    <w:rsid w:val="00346B9E"/>
    <w:rsid w:val="00346C7A"/>
    <w:rsid w:val="00351773"/>
    <w:rsid w:val="00352986"/>
    <w:rsid w:val="0035378C"/>
    <w:rsid w:val="003660C9"/>
    <w:rsid w:val="00367E85"/>
    <w:rsid w:val="00370B84"/>
    <w:rsid w:val="003720B2"/>
    <w:rsid w:val="00372D0D"/>
    <w:rsid w:val="00375FAE"/>
    <w:rsid w:val="003818CB"/>
    <w:rsid w:val="00383BE8"/>
    <w:rsid w:val="00391782"/>
    <w:rsid w:val="00394748"/>
    <w:rsid w:val="00394E44"/>
    <w:rsid w:val="003977BB"/>
    <w:rsid w:val="003A25CC"/>
    <w:rsid w:val="003A2C33"/>
    <w:rsid w:val="003A6C7C"/>
    <w:rsid w:val="003A77EB"/>
    <w:rsid w:val="003B0B2F"/>
    <w:rsid w:val="003B4697"/>
    <w:rsid w:val="003C2623"/>
    <w:rsid w:val="003C5502"/>
    <w:rsid w:val="003C577C"/>
    <w:rsid w:val="003C7BEE"/>
    <w:rsid w:val="003D054E"/>
    <w:rsid w:val="003D4CF0"/>
    <w:rsid w:val="003D78E7"/>
    <w:rsid w:val="003E07E1"/>
    <w:rsid w:val="003E12AB"/>
    <w:rsid w:val="003E2D25"/>
    <w:rsid w:val="003E7D07"/>
    <w:rsid w:val="003F43D8"/>
    <w:rsid w:val="003F6313"/>
    <w:rsid w:val="003F7D70"/>
    <w:rsid w:val="00400654"/>
    <w:rsid w:val="00405F40"/>
    <w:rsid w:val="0040675E"/>
    <w:rsid w:val="00414A06"/>
    <w:rsid w:val="0041748B"/>
    <w:rsid w:val="004211F4"/>
    <w:rsid w:val="004218B3"/>
    <w:rsid w:val="004225F5"/>
    <w:rsid w:val="00423F47"/>
    <w:rsid w:val="00426743"/>
    <w:rsid w:val="00426F00"/>
    <w:rsid w:val="00427771"/>
    <w:rsid w:val="00427C49"/>
    <w:rsid w:val="00431177"/>
    <w:rsid w:val="00431745"/>
    <w:rsid w:val="00431EED"/>
    <w:rsid w:val="004337AA"/>
    <w:rsid w:val="00436BB0"/>
    <w:rsid w:val="00440B64"/>
    <w:rsid w:val="00442566"/>
    <w:rsid w:val="004451A0"/>
    <w:rsid w:val="004503C3"/>
    <w:rsid w:val="0045058F"/>
    <w:rsid w:val="00454F09"/>
    <w:rsid w:val="00456C04"/>
    <w:rsid w:val="0046049B"/>
    <w:rsid w:val="00462011"/>
    <w:rsid w:val="00462D91"/>
    <w:rsid w:val="004641F2"/>
    <w:rsid w:val="0046634A"/>
    <w:rsid w:val="00466EA6"/>
    <w:rsid w:val="00471140"/>
    <w:rsid w:val="0047199F"/>
    <w:rsid w:val="004721F4"/>
    <w:rsid w:val="00472C2E"/>
    <w:rsid w:val="0047312B"/>
    <w:rsid w:val="0047598F"/>
    <w:rsid w:val="004811BD"/>
    <w:rsid w:val="0048239A"/>
    <w:rsid w:val="00482919"/>
    <w:rsid w:val="00482A89"/>
    <w:rsid w:val="00485F5C"/>
    <w:rsid w:val="00486577"/>
    <w:rsid w:val="00487820"/>
    <w:rsid w:val="004914DE"/>
    <w:rsid w:val="004942E0"/>
    <w:rsid w:val="0049661A"/>
    <w:rsid w:val="004A4D87"/>
    <w:rsid w:val="004A6FD8"/>
    <w:rsid w:val="004B4261"/>
    <w:rsid w:val="004B4A9D"/>
    <w:rsid w:val="004B5791"/>
    <w:rsid w:val="004C1EB6"/>
    <w:rsid w:val="004C269A"/>
    <w:rsid w:val="004C364D"/>
    <w:rsid w:val="004C5D5D"/>
    <w:rsid w:val="004C69AC"/>
    <w:rsid w:val="004D17FF"/>
    <w:rsid w:val="004D34ED"/>
    <w:rsid w:val="004D3D08"/>
    <w:rsid w:val="004D6197"/>
    <w:rsid w:val="004D6907"/>
    <w:rsid w:val="004D6F11"/>
    <w:rsid w:val="004E0FE2"/>
    <w:rsid w:val="004E1957"/>
    <w:rsid w:val="004E1977"/>
    <w:rsid w:val="004E3E3B"/>
    <w:rsid w:val="004E666B"/>
    <w:rsid w:val="004F019A"/>
    <w:rsid w:val="004F19BD"/>
    <w:rsid w:val="004F2A7C"/>
    <w:rsid w:val="004F4371"/>
    <w:rsid w:val="004F4CAB"/>
    <w:rsid w:val="004F6A13"/>
    <w:rsid w:val="00504113"/>
    <w:rsid w:val="00511352"/>
    <w:rsid w:val="005114FB"/>
    <w:rsid w:val="00512B67"/>
    <w:rsid w:val="00515EE8"/>
    <w:rsid w:val="00520BFF"/>
    <w:rsid w:val="005262A6"/>
    <w:rsid w:val="00526A79"/>
    <w:rsid w:val="0052722E"/>
    <w:rsid w:val="0052747D"/>
    <w:rsid w:val="005275BA"/>
    <w:rsid w:val="00531971"/>
    <w:rsid w:val="00531A63"/>
    <w:rsid w:val="00532A04"/>
    <w:rsid w:val="00532D2F"/>
    <w:rsid w:val="0053321C"/>
    <w:rsid w:val="00534990"/>
    <w:rsid w:val="005413B9"/>
    <w:rsid w:val="00543CDD"/>
    <w:rsid w:val="00544372"/>
    <w:rsid w:val="005447C4"/>
    <w:rsid w:val="00545012"/>
    <w:rsid w:val="005508C2"/>
    <w:rsid w:val="00550AC0"/>
    <w:rsid w:val="00552D4F"/>
    <w:rsid w:val="00556AF9"/>
    <w:rsid w:val="0056263E"/>
    <w:rsid w:val="005634C0"/>
    <w:rsid w:val="0056372E"/>
    <w:rsid w:val="005637CF"/>
    <w:rsid w:val="00563AAF"/>
    <w:rsid w:val="00563C4B"/>
    <w:rsid w:val="005646F5"/>
    <w:rsid w:val="00566A7E"/>
    <w:rsid w:val="00570531"/>
    <w:rsid w:val="005707F9"/>
    <w:rsid w:val="00573588"/>
    <w:rsid w:val="00574458"/>
    <w:rsid w:val="0057690B"/>
    <w:rsid w:val="005770E0"/>
    <w:rsid w:val="005814F2"/>
    <w:rsid w:val="00581867"/>
    <w:rsid w:val="00583779"/>
    <w:rsid w:val="00587D9C"/>
    <w:rsid w:val="005924AD"/>
    <w:rsid w:val="0059418F"/>
    <w:rsid w:val="0059530C"/>
    <w:rsid w:val="005978FE"/>
    <w:rsid w:val="005A01E4"/>
    <w:rsid w:val="005A2AF5"/>
    <w:rsid w:val="005A4DAC"/>
    <w:rsid w:val="005A5DBB"/>
    <w:rsid w:val="005B0A85"/>
    <w:rsid w:val="005B4D74"/>
    <w:rsid w:val="005B5EBA"/>
    <w:rsid w:val="005B6874"/>
    <w:rsid w:val="005B7A6E"/>
    <w:rsid w:val="005C163D"/>
    <w:rsid w:val="005C3F7A"/>
    <w:rsid w:val="005C436E"/>
    <w:rsid w:val="005C582C"/>
    <w:rsid w:val="005C6BFA"/>
    <w:rsid w:val="005C6FFB"/>
    <w:rsid w:val="005D6AF8"/>
    <w:rsid w:val="005E0DCD"/>
    <w:rsid w:val="005E3CFD"/>
    <w:rsid w:val="005E5723"/>
    <w:rsid w:val="005E7788"/>
    <w:rsid w:val="005E7A5C"/>
    <w:rsid w:val="00601F8C"/>
    <w:rsid w:val="00602194"/>
    <w:rsid w:val="0060749F"/>
    <w:rsid w:val="00607725"/>
    <w:rsid w:val="00611DA3"/>
    <w:rsid w:val="006128C0"/>
    <w:rsid w:val="00613B06"/>
    <w:rsid w:val="00614648"/>
    <w:rsid w:val="0062117C"/>
    <w:rsid w:val="00624034"/>
    <w:rsid w:val="00624CE6"/>
    <w:rsid w:val="006309CD"/>
    <w:rsid w:val="00632CBE"/>
    <w:rsid w:val="00635466"/>
    <w:rsid w:val="0064064C"/>
    <w:rsid w:val="006410B5"/>
    <w:rsid w:val="0064218A"/>
    <w:rsid w:val="0064250D"/>
    <w:rsid w:val="006460A4"/>
    <w:rsid w:val="00647029"/>
    <w:rsid w:val="006472CD"/>
    <w:rsid w:val="0065109B"/>
    <w:rsid w:val="00655579"/>
    <w:rsid w:val="00655E51"/>
    <w:rsid w:val="00656DBA"/>
    <w:rsid w:val="0065771C"/>
    <w:rsid w:val="00657B39"/>
    <w:rsid w:val="00657C2F"/>
    <w:rsid w:val="006607D6"/>
    <w:rsid w:val="00662B62"/>
    <w:rsid w:val="00662E61"/>
    <w:rsid w:val="00667AAE"/>
    <w:rsid w:val="00667D51"/>
    <w:rsid w:val="00672230"/>
    <w:rsid w:val="006730D6"/>
    <w:rsid w:val="00677EA7"/>
    <w:rsid w:val="00680723"/>
    <w:rsid w:val="006812B8"/>
    <w:rsid w:val="006813CD"/>
    <w:rsid w:val="00681CF8"/>
    <w:rsid w:val="00682BC8"/>
    <w:rsid w:val="0068384A"/>
    <w:rsid w:val="00683E93"/>
    <w:rsid w:val="00684BC5"/>
    <w:rsid w:val="0068627A"/>
    <w:rsid w:val="00690A3A"/>
    <w:rsid w:val="00690D48"/>
    <w:rsid w:val="00690D88"/>
    <w:rsid w:val="0069107B"/>
    <w:rsid w:val="00692B55"/>
    <w:rsid w:val="00695E1A"/>
    <w:rsid w:val="00696055"/>
    <w:rsid w:val="00697C78"/>
    <w:rsid w:val="006A138C"/>
    <w:rsid w:val="006A2DF8"/>
    <w:rsid w:val="006A3482"/>
    <w:rsid w:val="006A3593"/>
    <w:rsid w:val="006B1B09"/>
    <w:rsid w:val="006B6AD2"/>
    <w:rsid w:val="006B7870"/>
    <w:rsid w:val="006C286F"/>
    <w:rsid w:val="006C4727"/>
    <w:rsid w:val="006C4861"/>
    <w:rsid w:val="006D150E"/>
    <w:rsid w:val="006D22C4"/>
    <w:rsid w:val="006D3A48"/>
    <w:rsid w:val="006D4188"/>
    <w:rsid w:val="006D4193"/>
    <w:rsid w:val="006D47F4"/>
    <w:rsid w:val="006E0949"/>
    <w:rsid w:val="006E1E17"/>
    <w:rsid w:val="006E39D6"/>
    <w:rsid w:val="006E3D32"/>
    <w:rsid w:val="006E7BFD"/>
    <w:rsid w:val="006F0ABE"/>
    <w:rsid w:val="006F1558"/>
    <w:rsid w:val="006F3B54"/>
    <w:rsid w:val="006F444B"/>
    <w:rsid w:val="006F65BD"/>
    <w:rsid w:val="006F6633"/>
    <w:rsid w:val="006F7CFD"/>
    <w:rsid w:val="007015F2"/>
    <w:rsid w:val="00703F58"/>
    <w:rsid w:val="00710B51"/>
    <w:rsid w:val="00712DA9"/>
    <w:rsid w:val="00713DCE"/>
    <w:rsid w:val="0071474B"/>
    <w:rsid w:val="00720571"/>
    <w:rsid w:val="007238D3"/>
    <w:rsid w:val="007248DA"/>
    <w:rsid w:val="007262F0"/>
    <w:rsid w:val="00732292"/>
    <w:rsid w:val="00733638"/>
    <w:rsid w:val="007342A5"/>
    <w:rsid w:val="007346E2"/>
    <w:rsid w:val="007349AC"/>
    <w:rsid w:val="00734CE0"/>
    <w:rsid w:val="00734FCF"/>
    <w:rsid w:val="0073588C"/>
    <w:rsid w:val="00740697"/>
    <w:rsid w:val="00740B62"/>
    <w:rsid w:val="007449B0"/>
    <w:rsid w:val="00746141"/>
    <w:rsid w:val="00747FD4"/>
    <w:rsid w:val="00756BA2"/>
    <w:rsid w:val="00760908"/>
    <w:rsid w:val="00762AB4"/>
    <w:rsid w:val="007655DE"/>
    <w:rsid w:val="007667BB"/>
    <w:rsid w:val="007734B1"/>
    <w:rsid w:val="0077361A"/>
    <w:rsid w:val="007749BE"/>
    <w:rsid w:val="00783F92"/>
    <w:rsid w:val="00784D2A"/>
    <w:rsid w:val="00792332"/>
    <w:rsid w:val="00794D79"/>
    <w:rsid w:val="00796428"/>
    <w:rsid w:val="00796F3E"/>
    <w:rsid w:val="007A1F9B"/>
    <w:rsid w:val="007A242B"/>
    <w:rsid w:val="007A308A"/>
    <w:rsid w:val="007A5DDD"/>
    <w:rsid w:val="007A6D65"/>
    <w:rsid w:val="007A76EB"/>
    <w:rsid w:val="007B216B"/>
    <w:rsid w:val="007B27CE"/>
    <w:rsid w:val="007B5BCE"/>
    <w:rsid w:val="007B66FB"/>
    <w:rsid w:val="007C0668"/>
    <w:rsid w:val="007C0A37"/>
    <w:rsid w:val="007C231D"/>
    <w:rsid w:val="007C2323"/>
    <w:rsid w:val="007C5FBD"/>
    <w:rsid w:val="007C6091"/>
    <w:rsid w:val="007D21D5"/>
    <w:rsid w:val="007D3B67"/>
    <w:rsid w:val="007D4C05"/>
    <w:rsid w:val="007D692B"/>
    <w:rsid w:val="007D6AF4"/>
    <w:rsid w:val="007E44B6"/>
    <w:rsid w:val="007E53E8"/>
    <w:rsid w:val="007F121E"/>
    <w:rsid w:val="007F1A0B"/>
    <w:rsid w:val="007F2FDB"/>
    <w:rsid w:val="007F4451"/>
    <w:rsid w:val="007F4BBE"/>
    <w:rsid w:val="007F530C"/>
    <w:rsid w:val="007F6897"/>
    <w:rsid w:val="007F755B"/>
    <w:rsid w:val="00800735"/>
    <w:rsid w:val="00800CE7"/>
    <w:rsid w:val="00802B06"/>
    <w:rsid w:val="00805780"/>
    <w:rsid w:val="0081007C"/>
    <w:rsid w:val="00810FEF"/>
    <w:rsid w:val="008116FE"/>
    <w:rsid w:val="00812851"/>
    <w:rsid w:val="008130DC"/>
    <w:rsid w:val="00814F01"/>
    <w:rsid w:val="00815087"/>
    <w:rsid w:val="008166D0"/>
    <w:rsid w:val="00823DE9"/>
    <w:rsid w:val="008245C6"/>
    <w:rsid w:val="0082608E"/>
    <w:rsid w:val="00831F88"/>
    <w:rsid w:val="0083559E"/>
    <w:rsid w:val="008357F1"/>
    <w:rsid w:val="008359A2"/>
    <w:rsid w:val="00837455"/>
    <w:rsid w:val="00847A75"/>
    <w:rsid w:val="00850FDA"/>
    <w:rsid w:val="0085343B"/>
    <w:rsid w:val="00853F78"/>
    <w:rsid w:val="00854733"/>
    <w:rsid w:val="00857970"/>
    <w:rsid w:val="00860716"/>
    <w:rsid w:val="00860CF3"/>
    <w:rsid w:val="00863265"/>
    <w:rsid w:val="008642D1"/>
    <w:rsid w:val="00866A70"/>
    <w:rsid w:val="0087094F"/>
    <w:rsid w:val="00871555"/>
    <w:rsid w:val="00872A66"/>
    <w:rsid w:val="0087423C"/>
    <w:rsid w:val="0087617B"/>
    <w:rsid w:val="00876C86"/>
    <w:rsid w:val="008774E1"/>
    <w:rsid w:val="008802B5"/>
    <w:rsid w:val="008814C7"/>
    <w:rsid w:val="0088289E"/>
    <w:rsid w:val="00884E4C"/>
    <w:rsid w:val="00886900"/>
    <w:rsid w:val="00894519"/>
    <w:rsid w:val="008A2A30"/>
    <w:rsid w:val="008A517F"/>
    <w:rsid w:val="008A5C23"/>
    <w:rsid w:val="008B0CDA"/>
    <w:rsid w:val="008B25C7"/>
    <w:rsid w:val="008B366F"/>
    <w:rsid w:val="008B4A61"/>
    <w:rsid w:val="008B56E4"/>
    <w:rsid w:val="008C1FB2"/>
    <w:rsid w:val="008C43B0"/>
    <w:rsid w:val="008C44E9"/>
    <w:rsid w:val="008C4DA8"/>
    <w:rsid w:val="008C525F"/>
    <w:rsid w:val="008D0380"/>
    <w:rsid w:val="008D1F1B"/>
    <w:rsid w:val="008D4A6F"/>
    <w:rsid w:val="008D766A"/>
    <w:rsid w:val="008E150A"/>
    <w:rsid w:val="008E510F"/>
    <w:rsid w:val="008E70D0"/>
    <w:rsid w:val="008E75D5"/>
    <w:rsid w:val="008F5DA7"/>
    <w:rsid w:val="008F6227"/>
    <w:rsid w:val="008F656E"/>
    <w:rsid w:val="008F7CE7"/>
    <w:rsid w:val="00900815"/>
    <w:rsid w:val="00901BD7"/>
    <w:rsid w:val="009021A8"/>
    <w:rsid w:val="00904132"/>
    <w:rsid w:val="00906A4E"/>
    <w:rsid w:val="009078B3"/>
    <w:rsid w:val="00910ACD"/>
    <w:rsid w:val="00911146"/>
    <w:rsid w:val="0091240E"/>
    <w:rsid w:val="00915848"/>
    <w:rsid w:val="00917732"/>
    <w:rsid w:val="00920915"/>
    <w:rsid w:val="009239C8"/>
    <w:rsid w:val="00924005"/>
    <w:rsid w:val="00924981"/>
    <w:rsid w:val="00927779"/>
    <w:rsid w:val="00927C9A"/>
    <w:rsid w:val="0093126A"/>
    <w:rsid w:val="00937CCF"/>
    <w:rsid w:val="0094119A"/>
    <w:rsid w:val="00941800"/>
    <w:rsid w:val="00944DFF"/>
    <w:rsid w:val="009500B0"/>
    <w:rsid w:val="009504FE"/>
    <w:rsid w:val="00954F71"/>
    <w:rsid w:val="00956595"/>
    <w:rsid w:val="00960865"/>
    <w:rsid w:val="00962929"/>
    <w:rsid w:val="00964B8E"/>
    <w:rsid w:val="00971304"/>
    <w:rsid w:val="0097162A"/>
    <w:rsid w:val="00971B2F"/>
    <w:rsid w:val="00973AA8"/>
    <w:rsid w:val="00973BAF"/>
    <w:rsid w:val="00973C3B"/>
    <w:rsid w:val="00976EE9"/>
    <w:rsid w:val="009771E5"/>
    <w:rsid w:val="00977439"/>
    <w:rsid w:val="009816C2"/>
    <w:rsid w:val="009829A5"/>
    <w:rsid w:val="00987A9A"/>
    <w:rsid w:val="00990512"/>
    <w:rsid w:val="00990D1B"/>
    <w:rsid w:val="00990F96"/>
    <w:rsid w:val="00997A90"/>
    <w:rsid w:val="009A0D75"/>
    <w:rsid w:val="009A1192"/>
    <w:rsid w:val="009A3F01"/>
    <w:rsid w:val="009B149F"/>
    <w:rsid w:val="009B228A"/>
    <w:rsid w:val="009B2826"/>
    <w:rsid w:val="009B35AB"/>
    <w:rsid w:val="009B57A0"/>
    <w:rsid w:val="009C2022"/>
    <w:rsid w:val="009D0D3D"/>
    <w:rsid w:val="009E37F0"/>
    <w:rsid w:val="009E5778"/>
    <w:rsid w:val="009E5CEA"/>
    <w:rsid w:val="009E5F4E"/>
    <w:rsid w:val="009F23DB"/>
    <w:rsid w:val="009F448C"/>
    <w:rsid w:val="009F6C65"/>
    <w:rsid w:val="00A002B8"/>
    <w:rsid w:val="00A006BE"/>
    <w:rsid w:val="00A0577B"/>
    <w:rsid w:val="00A06D04"/>
    <w:rsid w:val="00A10C0F"/>
    <w:rsid w:val="00A117B2"/>
    <w:rsid w:val="00A11E7B"/>
    <w:rsid w:val="00A145D7"/>
    <w:rsid w:val="00A176B6"/>
    <w:rsid w:val="00A214D9"/>
    <w:rsid w:val="00A21AC3"/>
    <w:rsid w:val="00A21D69"/>
    <w:rsid w:val="00A21E8A"/>
    <w:rsid w:val="00A22564"/>
    <w:rsid w:val="00A22C22"/>
    <w:rsid w:val="00A27417"/>
    <w:rsid w:val="00A3111B"/>
    <w:rsid w:val="00A332CF"/>
    <w:rsid w:val="00A335B2"/>
    <w:rsid w:val="00A35C9D"/>
    <w:rsid w:val="00A37E4D"/>
    <w:rsid w:val="00A408FA"/>
    <w:rsid w:val="00A42C3D"/>
    <w:rsid w:val="00A44C3D"/>
    <w:rsid w:val="00A46242"/>
    <w:rsid w:val="00A47183"/>
    <w:rsid w:val="00A477D5"/>
    <w:rsid w:val="00A50278"/>
    <w:rsid w:val="00A520FF"/>
    <w:rsid w:val="00A55CDC"/>
    <w:rsid w:val="00A5650D"/>
    <w:rsid w:val="00A573AE"/>
    <w:rsid w:val="00A57A14"/>
    <w:rsid w:val="00A6082A"/>
    <w:rsid w:val="00A61BC0"/>
    <w:rsid w:val="00A62F7C"/>
    <w:rsid w:val="00A6455A"/>
    <w:rsid w:val="00A64B80"/>
    <w:rsid w:val="00A65139"/>
    <w:rsid w:val="00A67B46"/>
    <w:rsid w:val="00A7440F"/>
    <w:rsid w:val="00A7449F"/>
    <w:rsid w:val="00A75C5A"/>
    <w:rsid w:val="00A76AF9"/>
    <w:rsid w:val="00A77E3F"/>
    <w:rsid w:val="00A80330"/>
    <w:rsid w:val="00A813B2"/>
    <w:rsid w:val="00A81AF4"/>
    <w:rsid w:val="00A838B3"/>
    <w:rsid w:val="00A9246E"/>
    <w:rsid w:val="00A93B63"/>
    <w:rsid w:val="00A946D9"/>
    <w:rsid w:val="00A96D9A"/>
    <w:rsid w:val="00A97AF4"/>
    <w:rsid w:val="00AA362F"/>
    <w:rsid w:val="00AA4889"/>
    <w:rsid w:val="00AA6206"/>
    <w:rsid w:val="00AB0651"/>
    <w:rsid w:val="00AB2808"/>
    <w:rsid w:val="00AB4DA0"/>
    <w:rsid w:val="00AB6193"/>
    <w:rsid w:val="00AB79B7"/>
    <w:rsid w:val="00AB7A40"/>
    <w:rsid w:val="00AC284B"/>
    <w:rsid w:val="00AC7322"/>
    <w:rsid w:val="00AD082E"/>
    <w:rsid w:val="00AD0B74"/>
    <w:rsid w:val="00AD29B3"/>
    <w:rsid w:val="00AD3960"/>
    <w:rsid w:val="00AD5AD4"/>
    <w:rsid w:val="00AE18F0"/>
    <w:rsid w:val="00AE3414"/>
    <w:rsid w:val="00AE3B09"/>
    <w:rsid w:val="00AE46ED"/>
    <w:rsid w:val="00AE6E3F"/>
    <w:rsid w:val="00AF0593"/>
    <w:rsid w:val="00AF16B4"/>
    <w:rsid w:val="00AF1CD5"/>
    <w:rsid w:val="00AF2CF1"/>
    <w:rsid w:val="00AF4F31"/>
    <w:rsid w:val="00AF6C2B"/>
    <w:rsid w:val="00B00598"/>
    <w:rsid w:val="00B00D16"/>
    <w:rsid w:val="00B041B0"/>
    <w:rsid w:val="00B133C3"/>
    <w:rsid w:val="00B14AC5"/>
    <w:rsid w:val="00B1560E"/>
    <w:rsid w:val="00B15B72"/>
    <w:rsid w:val="00B17A08"/>
    <w:rsid w:val="00B21EA4"/>
    <w:rsid w:val="00B22B53"/>
    <w:rsid w:val="00B233B0"/>
    <w:rsid w:val="00B23CBA"/>
    <w:rsid w:val="00B241E7"/>
    <w:rsid w:val="00B274A1"/>
    <w:rsid w:val="00B32E9E"/>
    <w:rsid w:val="00B36A4C"/>
    <w:rsid w:val="00B40DB9"/>
    <w:rsid w:val="00B4162E"/>
    <w:rsid w:val="00B42C7F"/>
    <w:rsid w:val="00B43731"/>
    <w:rsid w:val="00B44628"/>
    <w:rsid w:val="00B44802"/>
    <w:rsid w:val="00B45298"/>
    <w:rsid w:val="00B468FD"/>
    <w:rsid w:val="00B46AE3"/>
    <w:rsid w:val="00B47C01"/>
    <w:rsid w:val="00B51F72"/>
    <w:rsid w:val="00B556A5"/>
    <w:rsid w:val="00B558C1"/>
    <w:rsid w:val="00B61B98"/>
    <w:rsid w:val="00B62314"/>
    <w:rsid w:val="00B6307C"/>
    <w:rsid w:val="00B64CC8"/>
    <w:rsid w:val="00B65427"/>
    <w:rsid w:val="00B65811"/>
    <w:rsid w:val="00B67374"/>
    <w:rsid w:val="00B722CF"/>
    <w:rsid w:val="00B75612"/>
    <w:rsid w:val="00B7607B"/>
    <w:rsid w:val="00B76A51"/>
    <w:rsid w:val="00B776FC"/>
    <w:rsid w:val="00B804D4"/>
    <w:rsid w:val="00B838EF"/>
    <w:rsid w:val="00B962B3"/>
    <w:rsid w:val="00BA2368"/>
    <w:rsid w:val="00BA289A"/>
    <w:rsid w:val="00BA3970"/>
    <w:rsid w:val="00BA3F78"/>
    <w:rsid w:val="00BA4955"/>
    <w:rsid w:val="00BA58C6"/>
    <w:rsid w:val="00BB11E7"/>
    <w:rsid w:val="00BB50E6"/>
    <w:rsid w:val="00BB528C"/>
    <w:rsid w:val="00BB76A2"/>
    <w:rsid w:val="00BB7DCD"/>
    <w:rsid w:val="00BC3A72"/>
    <w:rsid w:val="00BC666E"/>
    <w:rsid w:val="00BC7FDA"/>
    <w:rsid w:val="00BD2BFB"/>
    <w:rsid w:val="00BD5DF2"/>
    <w:rsid w:val="00BD6CA3"/>
    <w:rsid w:val="00BF100E"/>
    <w:rsid w:val="00BF187E"/>
    <w:rsid w:val="00BF26E5"/>
    <w:rsid w:val="00BF3ADF"/>
    <w:rsid w:val="00BF4AA4"/>
    <w:rsid w:val="00BF6B03"/>
    <w:rsid w:val="00BF6EF3"/>
    <w:rsid w:val="00C016C7"/>
    <w:rsid w:val="00C0272D"/>
    <w:rsid w:val="00C047C9"/>
    <w:rsid w:val="00C067F5"/>
    <w:rsid w:val="00C0709F"/>
    <w:rsid w:val="00C10A65"/>
    <w:rsid w:val="00C11025"/>
    <w:rsid w:val="00C13801"/>
    <w:rsid w:val="00C147F5"/>
    <w:rsid w:val="00C15373"/>
    <w:rsid w:val="00C20B79"/>
    <w:rsid w:val="00C216CD"/>
    <w:rsid w:val="00C261F9"/>
    <w:rsid w:val="00C2758B"/>
    <w:rsid w:val="00C27773"/>
    <w:rsid w:val="00C31793"/>
    <w:rsid w:val="00C32CCA"/>
    <w:rsid w:val="00C32D82"/>
    <w:rsid w:val="00C33B7C"/>
    <w:rsid w:val="00C37C0C"/>
    <w:rsid w:val="00C402AA"/>
    <w:rsid w:val="00C41B9C"/>
    <w:rsid w:val="00C47008"/>
    <w:rsid w:val="00C47B7D"/>
    <w:rsid w:val="00C5794C"/>
    <w:rsid w:val="00C62511"/>
    <w:rsid w:val="00C645B0"/>
    <w:rsid w:val="00C662E2"/>
    <w:rsid w:val="00C66CE5"/>
    <w:rsid w:val="00C67062"/>
    <w:rsid w:val="00C67880"/>
    <w:rsid w:val="00C70B8A"/>
    <w:rsid w:val="00C711B4"/>
    <w:rsid w:val="00C71E09"/>
    <w:rsid w:val="00C73C29"/>
    <w:rsid w:val="00C73F09"/>
    <w:rsid w:val="00C76330"/>
    <w:rsid w:val="00C8045C"/>
    <w:rsid w:val="00C82139"/>
    <w:rsid w:val="00C8339E"/>
    <w:rsid w:val="00C85C0B"/>
    <w:rsid w:val="00C87517"/>
    <w:rsid w:val="00C91045"/>
    <w:rsid w:val="00C95870"/>
    <w:rsid w:val="00C96BDE"/>
    <w:rsid w:val="00CA0187"/>
    <w:rsid w:val="00CA2B84"/>
    <w:rsid w:val="00CA4D95"/>
    <w:rsid w:val="00CA61A8"/>
    <w:rsid w:val="00CA6A9D"/>
    <w:rsid w:val="00CB00D0"/>
    <w:rsid w:val="00CB0D62"/>
    <w:rsid w:val="00CB1501"/>
    <w:rsid w:val="00CB5AA1"/>
    <w:rsid w:val="00CC150C"/>
    <w:rsid w:val="00CC7571"/>
    <w:rsid w:val="00CC7BC2"/>
    <w:rsid w:val="00CD403A"/>
    <w:rsid w:val="00CD47FF"/>
    <w:rsid w:val="00CD5700"/>
    <w:rsid w:val="00CD6358"/>
    <w:rsid w:val="00CE21D5"/>
    <w:rsid w:val="00CE2931"/>
    <w:rsid w:val="00CE3C7A"/>
    <w:rsid w:val="00CE3F56"/>
    <w:rsid w:val="00CE77C0"/>
    <w:rsid w:val="00CF2FF7"/>
    <w:rsid w:val="00CF3629"/>
    <w:rsid w:val="00CF529B"/>
    <w:rsid w:val="00CF5871"/>
    <w:rsid w:val="00D025D3"/>
    <w:rsid w:val="00D03142"/>
    <w:rsid w:val="00D04F4F"/>
    <w:rsid w:val="00D11D9C"/>
    <w:rsid w:val="00D11F5E"/>
    <w:rsid w:val="00D124C1"/>
    <w:rsid w:val="00D1734C"/>
    <w:rsid w:val="00D239B9"/>
    <w:rsid w:val="00D24998"/>
    <w:rsid w:val="00D27604"/>
    <w:rsid w:val="00D27680"/>
    <w:rsid w:val="00D30936"/>
    <w:rsid w:val="00D319CA"/>
    <w:rsid w:val="00D34897"/>
    <w:rsid w:val="00D373E6"/>
    <w:rsid w:val="00D43316"/>
    <w:rsid w:val="00D43592"/>
    <w:rsid w:val="00D44034"/>
    <w:rsid w:val="00D44A1C"/>
    <w:rsid w:val="00D462DA"/>
    <w:rsid w:val="00D46462"/>
    <w:rsid w:val="00D4665D"/>
    <w:rsid w:val="00D47AD1"/>
    <w:rsid w:val="00D47D81"/>
    <w:rsid w:val="00D51D35"/>
    <w:rsid w:val="00D53455"/>
    <w:rsid w:val="00D55C0B"/>
    <w:rsid w:val="00D55C41"/>
    <w:rsid w:val="00D55D7D"/>
    <w:rsid w:val="00D560E4"/>
    <w:rsid w:val="00D64348"/>
    <w:rsid w:val="00D6450D"/>
    <w:rsid w:val="00D66272"/>
    <w:rsid w:val="00D72AB8"/>
    <w:rsid w:val="00D737AC"/>
    <w:rsid w:val="00D742E5"/>
    <w:rsid w:val="00D77AE2"/>
    <w:rsid w:val="00D80BE6"/>
    <w:rsid w:val="00D854E0"/>
    <w:rsid w:val="00D86C6F"/>
    <w:rsid w:val="00D86CD7"/>
    <w:rsid w:val="00D87C61"/>
    <w:rsid w:val="00D9066F"/>
    <w:rsid w:val="00D91215"/>
    <w:rsid w:val="00D96842"/>
    <w:rsid w:val="00DA36D4"/>
    <w:rsid w:val="00DA418E"/>
    <w:rsid w:val="00DA5A1B"/>
    <w:rsid w:val="00DA6319"/>
    <w:rsid w:val="00DA6F52"/>
    <w:rsid w:val="00DB1B1A"/>
    <w:rsid w:val="00DB320F"/>
    <w:rsid w:val="00DB3B34"/>
    <w:rsid w:val="00DB42DA"/>
    <w:rsid w:val="00DB498D"/>
    <w:rsid w:val="00DC1DEF"/>
    <w:rsid w:val="00DC2A74"/>
    <w:rsid w:val="00DD0411"/>
    <w:rsid w:val="00DD1A27"/>
    <w:rsid w:val="00DD5548"/>
    <w:rsid w:val="00DD6423"/>
    <w:rsid w:val="00DD6B4F"/>
    <w:rsid w:val="00DD7B1C"/>
    <w:rsid w:val="00DD7BA0"/>
    <w:rsid w:val="00DE018B"/>
    <w:rsid w:val="00DE0699"/>
    <w:rsid w:val="00DE15B3"/>
    <w:rsid w:val="00DE1BD7"/>
    <w:rsid w:val="00DE679A"/>
    <w:rsid w:val="00DF1F68"/>
    <w:rsid w:val="00DF34F9"/>
    <w:rsid w:val="00DF38DD"/>
    <w:rsid w:val="00DF461B"/>
    <w:rsid w:val="00DF4CCF"/>
    <w:rsid w:val="00DF6A90"/>
    <w:rsid w:val="00DF75E4"/>
    <w:rsid w:val="00E01230"/>
    <w:rsid w:val="00E025AC"/>
    <w:rsid w:val="00E17CEF"/>
    <w:rsid w:val="00E24A9E"/>
    <w:rsid w:val="00E3150A"/>
    <w:rsid w:val="00E33657"/>
    <w:rsid w:val="00E34CB9"/>
    <w:rsid w:val="00E35506"/>
    <w:rsid w:val="00E3588E"/>
    <w:rsid w:val="00E36C61"/>
    <w:rsid w:val="00E42D01"/>
    <w:rsid w:val="00E42FDE"/>
    <w:rsid w:val="00E44B4F"/>
    <w:rsid w:val="00E47497"/>
    <w:rsid w:val="00E525E2"/>
    <w:rsid w:val="00E52A5E"/>
    <w:rsid w:val="00E534E5"/>
    <w:rsid w:val="00E55B49"/>
    <w:rsid w:val="00E56612"/>
    <w:rsid w:val="00E57196"/>
    <w:rsid w:val="00E613E8"/>
    <w:rsid w:val="00E61A5E"/>
    <w:rsid w:val="00E648F6"/>
    <w:rsid w:val="00E64A8C"/>
    <w:rsid w:val="00E74319"/>
    <w:rsid w:val="00E75278"/>
    <w:rsid w:val="00E80BBF"/>
    <w:rsid w:val="00E8242F"/>
    <w:rsid w:val="00E82793"/>
    <w:rsid w:val="00E84C89"/>
    <w:rsid w:val="00E870B6"/>
    <w:rsid w:val="00E921D1"/>
    <w:rsid w:val="00E926AB"/>
    <w:rsid w:val="00E95491"/>
    <w:rsid w:val="00EA1AAB"/>
    <w:rsid w:val="00EA1FB0"/>
    <w:rsid w:val="00EA1FDC"/>
    <w:rsid w:val="00EA423C"/>
    <w:rsid w:val="00EA7156"/>
    <w:rsid w:val="00EB2664"/>
    <w:rsid w:val="00EB2873"/>
    <w:rsid w:val="00EB4949"/>
    <w:rsid w:val="00EB5577"/>
    <w:rsid w:val="00EB7194"/>
    <w:rsid w:val="00EC01E9"/>
    <w:rsid w:val="00EC1614"/>
    <w:rsid w:val="00EC1933"/>
    <w:rsid w:val="00EC1E43"/>
    <w:rsid w:val="00EC220F"/>
    <w:rsid w:val="00ED1AA0"/>
    <w:rsid w:val="00ED2902"/>
    <w:rsid w:val="00ED513F"/>
    <w:rsid w:val="00ED5C89"/>
    <w:rsid w:val="00EE0956"/>
    <w:rsid w:val="00EE55E3"/>
    <w:rsid w:val="00EE674A"/>
    <w:rsid w:val="00EE6A68"/>
    <w:rsid w:val="00EE7F4F"/>
    <w:rsid w:val="00EF1234"/>
    <w:rsid w:val="00EF17A0"/>
    <w:rsid w:val="00EF3EC4"/>
    <w:rsid w:val="00EF4752"/>
    <w:rsid w:val="00EF4E04"/>
    <w:rsid w:val="00F0683F"/>
    <w:rsid w:val="00F07187"/>
    <w:rsid w:val="00F07FFB"/>
    <w:rsid w:val="00F10115"/>
    <w:rsid w:val="00F10288"/>
    <w:rsid w:val="00F148EC"/>
    <w:rsid w:val="00F15DEE"/>
    <w:rsid w:val="00F16DC7"/>
    <w:rsid w:val="00F21769"/>
    <w:rsid w:val="00F24627"/>
    <w:rsid w:val="00F24A3F"/>
    <w:rsid w:val="00F27972"/>
    <w:rsid w:val="00F27E37"/>
    <w:rsid w:val="00F31E73"/>
    <w:rsid w:val="00F32316"/>
    <w:rsid w:val="00F3245D"/>
    <w:rsid w:val="00F32B84"/>
    <w:rsid w:val="00F367B5"/>
    <w:rsid w:val="00F425C4"/>
    <w:rsid w:val="00F449E1"/>
    <w:rsid w:val="00F451F3"/>
    <w:rsid w:val="00F4591D"/>
    <w:rsid w:val="00F50CF6"/>
    <w:rsid w:val="00F51E59"/>
    <w:rsid w:val="00F55263"/>
    <w:rsid w:val="00F57076"/>
    <w:rsid w:val="00F60B79"/>
    <w:rsid w:val="00F6308A"/>
    <w:rsid w:val="00F637A6"/>
    <w:rsid w:val="00F66B2F"/>
    <w:rsid w:val="00F710A3"/>
    <w:rsid w:val="00F7342C"/>
    <w:rsid w:val="00F7485C"/>
    <w:rsid w:val="00F74FA5"/>
    <w:rsid w:val="00F770AD"/>
    <w:rsid w:val="00F81209"/>
    <w:rsid w:val="00F8168B"/>
    <w:rsid w:val="00F82127"/>
    <w:rsid w:val="00F837FC"/>
    <w:rsid w:val="00F90E80"/>
    <w:rsid w:val="00F9496C"/>
    <w:rsid w:val="00F9534B"/>
    <w:rsid w:val="00F95645"/>
    <w:rsid w:val="00FA1EC1"/>
    <w:rsid w:val="00FA6223"/>
    <w:rsid w:val="00FA7B13"/>
    <w:rsid w:val="00FA7EEF"/>
    <w:rsid w:val="00FB04DB"/>
    <w:rsid w:val="00FB1F67"/>
    <w:rsid w:val="00FB53C0"/>
    <w:rsid w:val="00FB5894"/>
    <w:rsid w:val="00FB6F04"/>
    <w:rsid w:val="00FB7BD2"/>
    <w:rsid w:val="00FC112D"/>
    <w:rsid w:val="00FC2727"/>
    <w:rsid w:val="00FC6640"/>
    <w:rsid w:val="00FD1E4E"/>
    <w:rsid w:val="00FD7160"/>
    <w:rsid w:val="00FE1F24"/>
    <w:rsid w:val="00FE279D"/>
    <w:rsid w:val="00FE3C07"/>
    <w:rsid w:val="00FF34E2"/>
    <w:rsid w:val="00FF429B"/>
    <w:rsid w:val="00FF5966"/>
    <w:rsid w:val="00FF5E90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1418B3"/>
  <w15:docId w15:val="{AA95308F-7B85-45D3-87B2-B03B6BBA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60" w:after="60"/>
      <w:ind w:left="284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ind w:left="284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lang w:val="en-US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  <w:sz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-360" w:firstLine="360"/>
      <w:outlineLvl w:val="7"/>
    </w:pPr>
    <w:rPr>
      <w:rFonts w:ascii="Tahoma" w:hAnsi="Tahoma" w:cs="Tahoma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spacing w:before="120"/>
      <w:ind w:left="110" w:right="110"/>
      <w:jc w:val="both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elp">
    <w:name w:val="cel_p"/>
    <w:basedOn w:val="Normalny"/>
    <w:pPr>
      <w:spacing w:after="11"/>
      <w:ind w:left="11" w:right="11"/>
      <w:jc w:val="both"/>
      <w:textAlignment w:val="top"/>
    </w:pPr>
    <w:rPr>
      <w:rFonts w:ascii="Arial Unicode MS" w:eastAsia="Arial Unicode MS" w:hAnsi="Arial Unicode MS" w:cs="Arial Unicode MS"/>
      <w:szCs w:val="24"/>
    </w:rPr>
  </w:style>
  <w:style w:type="character" w:customStyle="1" w:styleId="hps">
    <w:name w:val="hps"/>
  </w:style>
  <w:style w:type="character" w:customStyle="1" w:styleId="NagwekZnak">
    <w:name w:val="Nagłówek Znak"/>
    <w:link w:val="Nagwek"/>
    <w:rsid w:val="0064250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64250D"/>
  </w:style>
  <w:style w:type="table" w:styleId="Tabela-Siatka">
    <w:name w:val="Table Grid"/>
    <w:basedOn w:val="Standardowy"/>
    <w:rsid w:val="0090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655579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655579"/>
    <w:pPr>
      <w:spacing w:after="120" w:line="480" w:lineRule="auto"/>
      <w:ind w:left="283"/>
    </w:pPr>
  </w:style>
  <w:style w:type="character" w:styleId="Hipercze">
    <w:name w:val="Hyperlink"/>
    <w:rsid w:val="00655579"/>
    <w:rPr>
      <w:color w:val="0000FF"/>
      <w:u w:val="single"/>
    </w:rPr>
  </w:style>
  <w:style w:type="paragraph" w:styleId="Tekstprzypisudolnego">
    <w:name w:val="footnote text"/>
    <w:basedOn w:val="Normalny"/>
    <w:semiHidden/>
    <w:rsid w:val="00AF1CD5"/>
    <w:rPr>
      <w:sz w:val="20"/>
    </w:rPr>
  </w:style>
  <w:style w:type="character" w:styleId="Odwoanieprzypisudolnego">
    <w:name w:val="footnote reference"/>
    <w:semiHidden/>
    <w:rsid w:val="00AF1CD5"/>
    <w:rPr>
      <w:vertAlign w:val="superscript"/>
    </w:rPr>
  </w:style>
  <w:style w:type="paragraph" w:styleId="Zwykytekst">
    <w:name w:val="Plain Text"/>
    <w:basedOn w:val="Normalny"/>
    <w:link w:val="ZwykytekstZnak"/>
    <w:rsid w:val="00DF4CCF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uiPriority w:val="99"/>
    <w:rsid w:val="00DF4CCF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66D0"/>
    <w:rPr>
      <w:sz w:val="24"/>
    </w:rPr>
  </w:style>
  <w:style w:type="paragraph" w:styleId="Tekstprzypisukocowego">
    <w:name w:val="endnote text"/>
    <w:basedOn w:val="Normalny"/>
    <w:link w:val="TekstprzypisukocowegoZnak"/>
    <w:rsid w:val="00927C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7C9A"/>
  </w:style>
  <w:style w:type="character" w:styleId="Odwoanieprzypisukocowego">
    <w:name w:val="endnote reference"/>
    <w:rsid w:val="00927C9A"/>
    <w:rPr>
      <w:vertAlign w:val="superscript"/>
    </w:rPr>
  </w:style>
  <w:style w:type="character" w:styleId="Odwoaniedokomentarza">
    <w:name w:val="annotation reference"/>
    <w:rsid w:val="00C13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38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801"/>
  </w:style>
  <w:style w:type="paragraph" w:styleId="Tematkomentarza">
    <w:name w:val="annotation subject"/>
    <w:basedOn w:val="Tekstkomentarza"/>
    <w:next w:val="Tekstkomentarza"/>
    <w:link w:val="TematkomentarzaZnak"/>
    <w:rsid w:val="00C13801"/>
    <w:rPr>
      <w:b/>
      <w:bCs/>
    </w:rPr>
  </w:style>
  <w:style w:type="character" w:customStyle="1" w:styleId="TematkomentarzaZnak">
    <w:name w:val="Temat komentarza Znak"/>
    <w:link w:val="Tematkomentarza"/>
    <w:rsid w:val="00C13801"/>
    <w:rPr>
      <w:b/>
      <w:bCs/>
    </w:rPr>
  </w:style>
  <w:style w:type="paragraph" w:styleId="Poprawka">
    <w:name w:val="Revision"/>
    <w:hidden/>
    <w:uiPriority w:val="71"/>
    <w:rsid w:val="00F9534B"/>
    <w:rPr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6E39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E39D6"/>
    <w:rPr>
      <w:sz w:val="24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0163E4"/>
    <w:pPr>
      <w:ind w:left="720"/>
      <w:contextualSpacing/>
    </w:pPr>
  </w:style>
  <w:style w:type="paragraph" w:customStyle="1" w:styleId="Default">
    <w:name w:val="Default"/>
    <w:rsid w:val="00954F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2314"/>
    <w:rPr>
      <w:b/>
      <w:sz w:val="24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CD5700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17F"/>
    <w:rPr>
      <w:color w:val="605E5C"/>
      <w:shd w:val="clear" w:color="auto" w:fill="E1DFDD"/>
    </w:rPr>
  </w:style>
  <w:style w:type="character" w:customStyle="1" w:styleId="Brak">
    <w:name w:val="Brak"/>
    <w:rsid w:val="00156965"/>
  </w:style>
  <w:style w:type="paragraph" w:customStyle="1" w:styleId="Style16">
    <w:name w:val="Style16"/>
    <w:basedOn w:val="Normalny"/>
    <w:rsid w:val="00156965"/>
    <w:pPr>
      <w:widowControl w:val="0"/>
      <w:suppressAutoHyphens/>
      <w:spacing w:line="100" w:lineRule="atLeast"/>
    </w:pPr>
    <w:rPr>
      <w:szCs w:val="24"/>
    </w:rPr>
  </w:style>
  <w:style w:type="numbering" w:customStyle="1" w:styleId="Zaimportowanystyl27">
    <w:name w:val="Zaimportowany styl 27"/>
    <w:rsid w:val="00156965"/>
    <w:pPr>
      <w:numPr>
        <w:numId w:val="38"/>
      </w:numPr>
    </w:pPr>
  </w:style>
  <w:style w:type="numbering" w:customStyle="1" w:styleId="Zaimportowanystyl28">
    <w:name w:val="Zaimportowany styl 28"/>
    <w:rsid w:val="00156965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65A5-6DA2-944F-8460-753E3788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10488</Words>
  <Characters>62930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CENTRUM BADAŃ I CERTYFIKACJI S</vt:lpstr>
    </vt:vector>
  </TitlesOfParts>
  <Company>pcbc</Company>
  <LinksUpToDate>false</LinksUpToDate>
  <CharactersWithSpaces>73272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CENTRUM BADAŃ I CERTYFIKACJI S</dc:title>
  <dc:creator>CE1000</dc:creator>
  <cp:lastModifiedBy>Stępniak Helena</cp:lastModifiedBy>
  <cp:revision>5</cp:revision>
  <cp:lastPrinted>2022-06-09T10:20:00Z</cp:lastPrinted>
  <dcterms:created xsi:type="dcterms:W3CDTF">2022-06-09T10:04:00Z</dcterms:created>
  <dcterms:modified xsi:type="dcterms:W3CDTF">2022-06-23T09:59:00Z</dcterms:modified>
</cp:coreProperties>
</file>